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CE14"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000D3BE"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06"/>
        <w:gridCol w:w="1208"/>
        <w:gridCol w:w="351"/>
        <w:gridCol w:w="1178"/>
      </w:tblGrid>
      <w:tr w:rsidR="000F4FD4" w:rsidRPr="00705AAD" w14:paraId="2303F248" w14:textId="77777777" w:rsidTr="0043441C">
        <w:tc>
          <w:tcPr>
            <w:tcW w:w="3205" w:type="dxa"/>
            <w:shd w:val="clear" w:color="auto" w:fill="DDD9C3" w:themeFill="background2" w:themeFillShade="E6"/>
          </w:tcPr>
          <w:p w14:paraId="1AC811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169" w:type="dxa"/>
            <w:gridSpan w:val="5"/>
          </w:tcPr>
          <w:p w14:paraId="084A3C9C"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31D41D6A" w14:textId="77777777" w:rsidTr="0043441C">
        <w:tc>
          <w:tcPr>
            <w:tcW w:w="3205" w:type="dxa"/>
            <w:shd w:val="clear" w:color="auto" w:fill="DDD9C3" w:themeFill="background2" w:themeFillShade="E6"/>
          </w:tcPr>
          <w:p w14:paraId="6972842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169" w:type="dxa"/>
            <w:gridSpan w:val="5"/>
          </w:tcPr>
          <w:p w14:paraId="6945B240"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52AE7156" w14:textId="77777777" w:rsidTr="0043441C">
        <w:tc>
          <w:tcPr>
            <w:tcW w:w="3205" w:type="dxa"/>
            <w:shd w:val="clear" w:color="auto" w:fill="DDD9C3" w:themeFill="background2" w:themeFillShade="E6"/>
          </w:tcPr>
          <w:p w14:paraId="31792F0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169" w:type="dxa"/>
            <w:gridSpan w:val="5"/>
          </w:tcPr>
          <w:p w14:paraId="110D9F8C"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628A099F" w14:textId="77777777" w:rsidTr="0023353F">
        <w:tc>
          <w:tcPr>
            <w:tcW w:w="3205" w:type="dxa"/>
            <w:shd w:val="clear" w:color="auto" w:fill="DDD9C3" w:themeFill="background2" w:themeFillShade="E6"/>
          </w:tcPr>
          <w:p w14:paraId="093EC1E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47A20766" w14:textId="1B3B1C21" w:rsidR="000F4FD4" w:rsidRPr="003B3A42" w:rsidRDefault="00692039" w:rsidP="007673F3">
            <w:pPr>
              <w:rPr>
                <w:rFonts w:ascii="Calibri" w:hAnsi="Calibri" w:cs="Arial"/>
                <w:color w:val="002060"/>
                <w:sz w:val="20"/>
                <w:szCs w:val="20"/>
                <w:lang w:val="el-GR"/>
              </w:rPr>
            </w:pPr>
            <w:r w:rsidRPr="003B3A42">
              <w:rPr>
                <w:rFonts w:ascii="Calibri" w:hAnsi="Calibri" w:cs="Arial"/>
                <w:color w:val="002060"/>
                <w:sz w:val="20"/>
                <w:szCs w:val="20"/>
                <w:lang w:val="el-GR"/>
              </w:rPr>
              <w:t xml:space="preserve"> </w:t>
            </w:r>
            <w:r w:rsidR="00B94C18">
              <w:rPr>
                <w:rFonts w:ascii="Calibri" w:hAnsi="Calibri" w:cs="Arial"/>
                <w:color w:val="002060"/>
                <w:sz w:val="20"/>
                <w:szCs w:val="20"/>
                <w:lang w:val="en-GB"/>
              </w:rPr>
              <w:t xml:space="preserve"> </w:t>
            </w:r>
            <w:r w:rsidR="00B94C18" w:rsidRPr="00B94C18">
              <w:rPr>
                <w:rFonts w:ascii="Calibri" w:hAnsi="Calibri" w:cs="Arial"/>
                <w:color w:val="002060"/>
                <w:sz w:val="20"/>
                <w:szCs w:val="20"/>
                <w:lang w:val="el-GR"/>
              </w:rPr>
              <w:t>ΣΑΑΝΑ85</w:t>
            </w:r>
          </w:p>
        </w:tc>
        <w:tc>
          <w:tcPr>
            <w:tcW w:w="2314" w:type="dxa"/>
            <w:gridSpan w:val="2"/>
            <w:shd w:val="clear" w:color="auto" w:fill="DDD9C3" w:themeFill="background2" w:themeFillShade="E6"/>
          </w:tcPr>
          <w:p w14:paraId="2E02A248" w14:textId="77777777" w:rsidR="000F4FD4" w:rsidRPr="003B3A42" w:rsidRDefault="000F4FD4" w:rsidP="007673F3">
            <w:pPr>
              <w:jc w:val="right"/>
              <w:rPr>
                <w:rFonts w:ascii="Calibri" w:hAnsi="Calibri" w:cs="Arial"/>
                <w:color w:val="002060"/>
                <w:sz w:val="20"/>
                <w:szCs w:val="20"/>
                <w:lang w:val="el-GR"/>
              </w:rPr>
            </w:pPr>
            <w:r w:rsidRPr="003B3A42">
              <w:rPr>
                <w:rFonts w:ascii="Calibri" w:hAnsi="Calibri" w:cs="Arial"/>
                <w:color w:val="002060"/>
                <w:sz w:val="20"/>
                <w:szCs w:val="20"/>
                <w:lang w:val="el-GR"/>
              </w:rPr>
              <w:t>ΕΞΑΜΗΝΟ ΣΠΟΥΔΩΝ</w:t>
            </w:r>
          </w:p>
        </w:tc>
        <w:tc>
          <w:tcPr>
            <w:tcW w:w="1529" w:type="dxa"/>
            <w:gridSpan w:val="2"/>
          </w:tcPr>
          <w:p w14:paraId="36186FE9" w14:textId="1CB932B5" w:rsidR="000F4FD4" w:rsidRPr="00CD41A4" w:rsidRDefault="00303CA0" w:rsidP="00CD41A4">
            <w:pPr>
              <w:rPr>
                <w:rFonts w:ascii="Calibri" w:hAnsi="Calibri" w:cs="Arial"/>
                <w:b/>
                <w:sz w:val="20"/>
                <w:szCs w:val="20"/>
              </w:rPr>
            </w:pPr>
            <w:r>
              <w:rPr>
                <w:rFonts w:ascii="Calibri" w:hAnsi="Calibri" w:cs="Arial"/>
                <w:b/>
                <w:sz w:val="20"/>
                <w:szCs w:val="20"/>
                <w:lang w:val="el-GR"/>
              </w:rPr>
              <w:t xml:space="preserve"> </w:t>
            </w:r>
            <w:r w:rsidR="00B94C18">
              <w:rPr>
                <w:rFonts w:ascii="Calibri" w:hAnsi="Calibri" w:cs="Arial"/>
                <w:b/>
                <w:sz w:val="20"/>
                <w:szCs w:val="20"/>
                <w:lang w:val="en-GB"/>
              </w:rPr>
              <w:t>8</w:t>
            </w:r>
            <w:r w:rsidR="00692039">
              <w:rPr>
                <w:rFonts w:ascii="Calibri" w:hAnsi="Calibri" w:cs="Arial"/>
                <w:b/>
                <w:sz w:val="20"/>
                <w:szCs w:val="20"/>
                <w:lang w:val="el-GR"/>
              </w:rPr>
              <w:t xml:space="preserve">ο </w:t>
            </w:r>
          </w:p>
        </w:tc>
      </w:tr>
      <w:tr w:rsidR="000F4FD4" w:rsidRPr="005D5BF8" w14:paraId="6E469B82" w14:textId="77777777" w:rsidTr="0043441C">
        <w:trPr>
          <w:trHeight w:val="375"/>
        </w:trPr>
        <w:tc>
          <w:tcPr>
            <w:tcW w:w="3205" w:type="dxa"/>
            <w:shd w:val="clear" w:color="auto" w:fill="DDD9C3" w:themeFill="background2" w:themeFillShade="E6"/>
            <w:vAlign w:val="center"/>
          </w:tcPr>
          <w:p w14:paraId="649FF9A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169" w:type="dxa"/>
            <w:gridSpan w:val="5"/>
            <w:vAlign w:val="center"/>
          </w:tcPr>
          <w:p w14:paraId="68390375" w14:textId="105A844A" w:rsidR="000F4FD4" w:rsidRPr="00C73096" w:rsidRDefault="00B94C18" w:rsidP="003B3A42">
            <w:pPr>
              <w:jc w:val="center"/>
              <w:rPr>
                <w:rFonts w:ascii="Calibri" w:hAnsi="Calibri" w:cs="Arial"/>
                <w:sz w:val="20"/>
                <w:szCs w:val="20"/>
                <w:lang w:val="el-GR"/>
              </w:rPr>
            </w:pPr>
            <w:r w:rsidRPr="00B94C18">
              <w:rPr>
                <w:rFonts w:ascii="Calibri" w:hAnsi="Calibri" w:cs="Arial"/>
                <w:color w:val="002060"/>
                <w:sz w:val="20"/>
                <w:szCs w:val="20"/>
                <w:lang w:val="el-GR"/>
              </w:rPr>
              <w:t>ΘΕΩΡΙΑ ΚΑΙ ΠΡΑΚΤΙΚΗ ΤΗΣ ΑΝΤΑΣΦΑΛΙΣΗΣ</w:t>
            </w:r>
          </w:p>
        </w:tc>
      </w:tr>
      <w:tr w:rsidR="000F4FD4" w:rsidRPr="00705AAD" w14:paraId="44BC3B96" w14:textId="77777777" w:rsidTr="0043441C">
        <w:trPr>
          <w:trHeight w:val="196"/>
        </w:trPr>
        <w:tc>
          <w:tcPr>
            <w:tcW w:w="5637" w:type="dxa"/>
            <w:gridSpan w:val="3"/>
            <w:shd w:val="clear" w:color="auto" w:fill="DDD9C3" w:themeFill="background2" w:themeFillShade="E6"/>
            <w:vAlign w:val="center"/>
          </w:tcPr>
          <w:p w14:paraId="25C8BB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0D4694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178" w:type="dxa"/>
            <w:shd w:val="clear" w:color="auto" w:fill="DDD9C3" w:themeFill="background2" w:themeFillShade="E6"/>
            <w:vAlign w:val="center"/>
          </w:tcPr>
          <w:p w14:paraId="0FD6F6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1FA28E2" w14:textId="77777777" w:rsidTr="0043441C">
        <w:trPr>
          <w:trHeight w:val="194"/>
        </w:trPr>
        <w:tc>
          <w:tcPr>
            <w:tcW w:w="5637" w:type="dxa"/>
            <w:gridSpan w:val="3"/>
          </w:tcPr>
          <w:p w14:paraId="0446B938" w14:textId="77777777" w:rsidR="000F4FD4" w:rsidRPr="00705AAD" w:rsidRDefault="00923979" w:rsidP="00266F9A">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283C5703" w14:textId="79119C81" w:rsidR="000F4FD4" w:rsidRPr="00B94C18" w:rsidRDefault="00B94C18" w:rsidP="00266F9A">
            <w:pPr>
              <w:jc w:val="center"/>
              <w:rPr>
                <w:rFonts w:ascii="Calibri" w:hAnsi="Calibri" w:cs="Arial"/>
                <w:color w:val="002060"/>
                <w:sz w:val="20"/>
                <w:szCs w:val="20"/>
                <w:lang w:val="en-GB"/>
              </w:rPr>
            </w:pPr>
            <w:r>
              <w:rPr>
                <w:rFonts w:ascii="Calibri" w:hAnsi="Calibri" w:cs="Arial"/>
                <w:color w:val="002060"/>
                <w:sz w:val="20"/>
                <w:szCs w:val="20"/>
                <w:lang w:val="en-GB"/>
              </w:rPr>
              <w:t>3</w:t>
            </w:r>
          </w:p>
        </w:tc>
        <w:tc>
          <w:tcPr>
            <w:tcW w:w="1178" w:type="dxa"/>
          </w:tcPr>
          <w:p w14:paraId="2DE2D460" w14:textId="7A2545A1" w:rsidR="000F4FD4" w:rsidRPr="0043441C" w:rsidRDefault="0043441C" w:rsidP="00266F9A">
            <w:pPr>
              <w:jc w:val="center"/>
              <w:rPr>
                <w:rFonts w:ascii="Calibri" w:hAnsi="Calibri" w:cs="Arial"/>
                <w:color w:val="002060"/>
                <w:sz w:val="20"/>
                <w:szCs w:val="20"/>
                <w:lang w:val="el-GR"/>
              </w:rPr>
            </w:pPr>
            <w:r>
              <w:rPr>
                <w:rFonts w:ascii="Calibri" w:hAnsi="Calibri" w:cs="Arial"/>
                <w:sz w:val="20"/>
                <w:szCs w:val="20"/>
                <w:lang w:val="el-GR"/>
              </w:rPr>
              <w:t>6</w:t>
            </w:r>
          </w:p>
        </w:tc>
      </w:tr>
      <w:tr w:rsidR="000F4FD4" w:rsidRPr="005D5BF8" w14:paraId="74CDBED8" w14:textId="77777777" w:rsidTr="0043441C">
        <w:trPr>
          <w:trHeight w:val="194"/>
        </w:trPr>
        <w:tc>
          <w:tcPr>
            <w:tcW w:w="5637" w:type="dxa"/>
            <w:gridSpan w:val="3"/>
            <w:shd w:val="clear" w:color="auto" w:fill="DDD9C3" w:themeFill="background2" w:themeFillShade="E6"/>
          </w:tcPr>
          <w:p w14:paraId="019E1CA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9BE7B41" w14:textId="77777777" w:rsidR="000F4FD4" w:rsidRPr="00705AAD" w:rsidRDefault="000F4FD4" w:rsidP="007673F3">
            <w:pPr>
              <w:jc w:val="right"/>
              <w:rPr>
                <w:rFonts w:ascii="Calibri" w:hAnsi="Calibri" w:cs="Arial"/>
                <w:color w:val="002060"/>
                <w:sz w:val="20"/>
                <w:szCs w:val="20"/>
                <w:lang w:val="el-GR"/>
              </w:rPr>
            </w:pPr>
          </w:p>
        </w:tc>
        <w:tc>
          <w:tcPr>
            <w:tcW w:w="1178" w:type="dxa"/>
          </w:tcPr>
          <w:p w14:paraId="0B8B29C2" w14:textId="77777777" w:rsidR="000F4FD4" w:rsidRPr="00705AAD" w:rsidRDefault="000F4FD4" w:rsidP="007673F3">
            <w:pPr>
              <w:rPr>
                <w:rFonts w:ascii="Calibri" w:hAnsi="Calibri" w:cs="Arial"/>
                <w:color w:val="002060"/>
                <w:sz w:val="20"/>
                <w:szCs w:val="20"/>
                <w:lang w:val="el-GR"/>
              </w:rPr>
            </w:pPr>
          </w:p>
        </w:tc>
      </w:tr>
      <w:tr w:rsidR="000F4FD4" w:rsidRPr="007E6482" w14:paraId="18E8AEC5" w14:textId="77777777" w:rsidTr="0043441C">
        <w:trPr>
          <w:trHeight w:val="599"/>
        </w:trPr>
        <w:tc>
          <w:tcPr>
            <w:tcW w:w="3205" w:type="dxa"/>
            <w:shd w:val="clear" w:color="auto" w:fill="DDD9C3" w:themeFill="background2" w:themeFillShade="E6"/>
          </w:tcPr>
          <w:p w14:paraId="141F51F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098BC77"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E82D02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169" w:type="dxa"/>
            <w:gridSpan w:val="5"/>
          </w:tcPr>
          <w:p w14:paraId="0B779D51" w14:textId="77777777" w:rsidR="000F4FD4" w:rsidRPr="00582F77" w:rsidRDefault="000F4FD4" w:rsidP="007673F3">
            <w:pPr>
              <w:rPr>
                <w:rFonts w:ascii="Calibri" w:hAnsi="Calibri" w:cs="Arial"/>
                <w:color w:val="002060"/>
                <w:sz w:val="20"/>
                <w:szCs w:val="20"/>
                <w:lang w:val="el-GR"/>
              </w:rPr>
            </w:pPr>
          </w:p>
          <w:p w14:paraId="06DAF4A9" w14:textId="583F8B6D" w:rsidR="00C73096" w:rsidRPr="00582F77" w:rsidRDefault="003B3A42" w:rsidP="003B3A42">
            <w:pPr>
              <w:rPr>
                <w:rFonts w:ascii="Calibri" w:hAnsi="Calibri" w:cs="Arial"/>
                <w:color w:val="002060"/>
                <w:sz w:val="20"/>
                <w:szCs w:val="20"/>
                <w:lang w:val="el-GR"/>
              </w:rPr>
            </w:pPr>
            <w:r w:rsidRPr="00582F77">
              <w:rPr>
                <w:rFonts w:ascii="Calibri" w:hAnsi="Calibri" w:cs="Arial"/>
                <w:color w:val="002060"/>
                <w:sz w:val="20"/>
                <w:szCs w:val="20"/>
                <w:lang w:val="el-GR"/>
              </w:rPr>
              <w:t>ΕΙΔΙΚΟΥ</w:t>
            </w:r>
            <w:r w:rsidR="00C73096" w:rsidRPr="00582F77">
              <w:rPr>
                <w:rFonts w:ascii="Calibri" w:hAnsi="Calibri" w:cs="Arial"/>
                <w:color w:val="002060"/>
                <w:sz w:val="20"/>
                <w:szCs w:val="20"/>
                <w:lang w:val="el-GR"/>
              </w:rPr>
              <w:t xml:space="preserve"> ΥΠΟΒΑΘΡΟΥ</w:t>
            </w:r>
          </w:p>
        </w:tc>
      </w:tr>
      <w:tr w:rsidR="000F4FD4" w:rsidRPr="0028211C" w14:paraId="1F1346F2" w14:textId="77777777" w:rsidTr="0043441C">
        <w:tc>
          <w:tcPr>
            <w:tcW w:w="3205" w:type="dxa"/>
            <w:shd w:val="clear" w:color="auto" w:fill="DDD9C3" w:themeFill="background2" w:themeFillShade="E6"/>
          </w:tcPr>
          <w:p w14:paraId="318577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57DB47" w14:textId="77777777" w:rsidR="000F4FD4" w:rsidRPr="00705AAD" w:rsidRDefault="000F4FD4" w:rsidP="007673F3">
            <w:pPr>
              <w:jc w:val="right"/>
              <w:rPr>
                <w:rFonts w:ascii="Calibri" w:hAnsi="Calibri" w:cs="Arial"/>
                <w:b/>
                <w:sz w:val="20"/>
                <w:szCs w:val="20"/>
                <w:lang w:val="el-GR"/>
              </w:rPr>
            </w:pPr>
          </w:p>
        </w:tc>
        <w:tc>
          <w:tcPr>
            <w:tcW w:w="5169" w:type="dxa"/>
            <w:gridSpan w:val="5"/>
          </w:tcPr>
          <w:p w14:paraId="0D841481" w14:textId="4A79E302" w:rsidR="000F4FD4" w:rsidRPr="00582F77" w:rsidRDefault="0028211C" w:rsidP="00561BA3">
            <w:pPr>
              <w:rPr>
                <w:rFonts w:ascii="Calibri" w:hAnsi="Calibri" w:cs="Arial"/>
                <w:color w:val="002060"/>
                <w:sz w:val="20"/>
                <w:szCs w:val="20"/>
                <w:lang w:val="en-GB"/>
              </w:rPr>
            </w:pPr>
            <w:r w:rsidRPr="00582F77">
              <w:rPr>
                <w:rFonts w:ascii="Calibri" w:hAnsi="Calibri" w:cs="Arial"/>
                <w:color w:val="002060"/>
                <w:sz w:val="20"/>
                <w:szCs w:val="20"/>
                <w:lang w:val="el-GR"/>
              </w:rPr>
              <w:t>ΠΙΘΑΝΟΤΗΤΕΣ Ι, ΠΙΘΑΝΟΤΗΤΕΣ ΙΙ</w:t>
            </w:r>
          </w:p>
        </w:tc>
      </w:tr>
      <w:tr w:rsidR="000F4FD4" w:rsidRPr="00705AAD" w14:paraId="6BA8B448" w14:textId="77777777" w:rsidTr="00F56495">
        <w:tc>
          <w:tcPr>
            <w:tcW w:w="3205" w:type="dxa"/>
            <w:shd w:val="clear" w:color="auto" w:fill="DDD9C3" w:themeFill="background2" w:themeFillShade="E6"/>
          </w:tcPr>
          <w:p w14:paraId="4195809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169" w:type="dxa"/>
            <w:gridSpan w:val="5"/>
          </w:tcPr>
          <w:p w14:paraId="1F72F00F" w14:textId="0B348500" w:rsidR="000F4FD4" w:rsidRPr="00582F77" w:rsidRDefault="00C73096" w:rsidP="00F56495">
            <w:pPr>
              <w:rPr>
                <w:rFonts w:ascii="Calibri" w:hAnsi="Calibri" w:cs="Arial"/>
                <w:color w:val="002060"/>
                <w:sz w:val="20"/>
                <w:szCs w:val="20"/>
                <w:lang w:val="el-GR"/>
              </w:rPr>
            </w:pPr>
            <w:r w:rsidRPr="00582F77">
              <w:rPr>
                <w:rFonts w:ascii="Calibri" w:hAnsi="Calibri" w:cs="Arial"/>
                <w:color w:val="002060"/>
                <w:sz w:val="20"/>
                <w:szCs w:val="20"/>
                <w:lang w:val="el-GR"/>
              </w:rPr>
              <w:t>ΕΛΛΗΝΙΚΗ</w:t>
            </w:r>
          </w:p>
          <w:p w14:paraId="177022B4" w14:textId="78DF0299" w:rsidR="00C73096" w:rsidRPr="00582F77" w:rsidRDefault="00C73096" w:rsidP="00F56495">
            <w:pPr>
              <w:rPr>
                <w:rFonts w:ascii="Calibri" w:hAnsi="Calibri" w:cs="Arial"/>
                <w:color w:val="002060"/>
                <w:sz w:val="20"/>
                <w:szCs w:val="20"/>
                <w:lang w:val="el-GR"/>
              </w:rPr>
            </w:pPr>
          </w:p>
          <w:p w14:paraId="43F01028" w14:textId="77777777" w:rsidR="00C73096" w:rsidRPr="00582F77" w:rsidRDefault="00C73096" w:rsidP="00F56495">
            <w:pPr>
              <w:rPr>
                <w:rFonts w:ascii="Calibri" w:hAnsi="Calibri" w:cs="Arial"/>
                <w:color w:val="002060"/>
                <w:sz w:val="20"/>
                <w:szCs w:val="20"/>
                <w:lang w:val="el-GR"/>
              </w:rPr>
            </w:pPr>
          </w:p>
        </w:tc>
      </w:tr>
      <w:tr w:rsidR="000F4FD4" w:rsidRPr="00C73096" w14:paraId="7AB86D90" w14:textId="77777777" w:rsidTr="0043441C">
        <w:tc>
          <w:tcPr>
            <w:tcW w:w="3205" w:type="dxa"/>
            <w:shd w:val="clear" w:color="auto" w:fill="DDD9C3" w:themeFill="background2" w:themeFillShade="E6"/>
          </w:tcPr>
          <w:p w14:paraId="4219219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169" w:type="dxa"/>
            <w:gridSpan w:val="5"/>
          </w:tcPr>
          <w:p w14:paraId="592BA727" w14:textId="30F2E217" w:rsidR="000F4FD4" w:rsidRPr="00582F77" w:rsidRDefault="0023353F" w:rsidP="007673F3">
            <w:pPr>
              <w:rPr>
                <w:rFonts w:ascii="Calibri" w:hAnsi="Calibri" w:cs="Arial"/>
                <w:color w:val="002060"/>
                <w:sz w:val="20"/>
                <w:szCs w:val="20"/>
                <w:lang w:val="el-GR"/>
              </w:rPr>
            </w:pPr>
            <w:r w:rsidRPr="00582F77">
              <w:rPr>
                <w:rFonts w:ascii="Calibri" w:hAnsi="Calibri" w:cs="Arial"/>
                <w:color w:val="002060"/>
                <w:sz w:val="20"/>
                <w:szCs w:val="20"/>
                <w:lang w:val="el-GR"/>
              </w:rPr>
              <w:t>ΟΧΙ</w:t>
            </w:r>
          </w:p>
        </w:tc>
      </w:tr>
      <w:tr w:rsidR="000F4FD4" w:rsidRPr="00705AAD" w14:paraId="5DFAB952" w14:textId="77777777" w:rsidTr="0043441C">
        <w:tc>
          <w:tcPr>
            <w:tcW w:w="3205" w:type="dxa"/>
            <w:shd w:val="clear" w:color="auto" w:fill="DDD9C3" w:themeFill="background2" w:themeFillShade="E6"/>
          </w:tcPr>
          <w:p w14:paraId="10502AD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169" w:type="dxa"/>
            <w:gridSpan w:val="5"/>
          </w:tcPr>
          <w:p w14:paraId="6E87775A" w14:textId="3A7B1CF3" w:rsidR="0023353F" w:rsidRPr="00677521" w:rsidRDefault="0028211C" w:rsidP="007673F3">
            <w:pPr>
              <w:spacing w:after="200" w:line="276" w:lineRule="auto"/>
              <w:rPr>
                <w:rFonts w:ascii="Calibri" w:eastAsia="Calibri" w:hAnsi="Calibri" w:cs="Arial"/>
                <w:color w:val="FF0000"/>
                <w:sz w:val="20"/>
                <w:szCs w:val="20"/>
                <w:lang w:val="en-GB"/>
              </w:rPr>
            </w:pPr>
            <w:r w:rsidRPr="00582F77">
              <w:rPr>
                <w:rFonts w:ascii="Calibri" w:eastAsia="Calibri" w:hAnsi="Calibri" w:cs="Arial"/>
                <w:color w:val="002060"/>
                <w:sz w:val="20"/>
                <w:szCs w:val="20"/>
                <w:lang w:val="en-GB"/>
              </w:rPr>
              <w:t>https://eclass.unipi.gr/courses/SAE214/</w:t>
            </w:r>
          </w:p>
        </w:tc>
      </w:tr>
    </w:tbl>
    <w:p w14:paraId="76A461EB"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1874AE1" w14:textId="77777777" w:rsidTr="00305D37">
        <w:tc>
          <w:tcPr>
            <w:tcW w:w="8472" w:type="dxa"/>
            <w:gridSpan w:val="2"/>
            <w:tcBorders>
              <w:bottom w:val="nil"/>
            </w:tcBorders>
            <w:shd w:val="clear" w:color="auto" w:fill="DDD9C3" w:themeFill="background2" w:themeFillShade="E6"/>
          </w:tcPr>
          <w:p w14:paraId="1B4D5A2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D5BF8" w14:paraId="40EC17F1" w14:textId="77777777" w:rsidTr="00305D37">
        <w:tc>
          <w:tcPr>
            <w:tcW w:w="8472" w:type="dxa"/>
            <w:gridSpan w:val="2"/>
            <w:tcBorders>
              <w:top w:val="nil"/>
            </w:tcBorders>
            <w:shd w:val="clear" w:color="auto" w:fill="DDD9C3" w:themeFill="background2" w:themeFillShade="E6"/>
          </w:tcPr>
          <w:p w14:paraId="3E5057A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3E96A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B275254"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E8E0E12" w14:textId="77777777" w:rsidR="000F4FD4" w:rsidRPr="00F21D37" w:rsidRDefault="000F4FD4" w:rsidP="00F4435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ABEB32A"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5BF8" w14:paraId="2FDD55C0" w14:textId="77777777" w:rsidTr="007F6F22">
        <w:trPr>
          <w:trHeight w:val="2132"/>
        </w:trPr>
        <w:tc>
          <w:tcPr>
            <w:tcW w:w="8472" w:type="dxa"/>
            <w:gridSpan w:val="2"/>
          </w:tcPr>
          <w:p w14:paraId="1C85ADA9" w14:textId="5EFBA128" w:rsidR="007F6F22" w:rsidRDefault="00B94C18" w:rsidP="007F6F22">
            <w:pPr>
              <w:widowControl w:val="0"/>
              <w:autoSpaceDE w:val="0"/>
              <w:autoSpaceDN w:val="0"/>
              <w:adjustRightInd w:val="0"/>
              <w:spacing w:after="120"/>
              <w:contextualSpacing/>
              <w:jc w:val="both"/>
              <w:rPr>
                <w:rFonts w:asciiTheme="minorHAnsi" w:hAnsiTheme="minorHAnsi" w:cstheme="minorHAnsi"/>
                <w:color w:val="002060"/>
                <w:sz w:val="22"/>
                <w:szCs w:val="22"/>
                <w:lang w:val="el-GR"/>
              </w:rPr>
            </w:pPr>
            <w:r w:rsidRPr="00B94C18">
              <w:rPr>
                <w:rFonts w:asciiTheme="minorHAnsi" w:hAnsiTheme="minorHAnsi" w:cstheme="minorHAnsi"/>
                <w:color w:val="002060"/>
                <w:sz w:val="22"/>
                <w:szCs w:val="22"/>
                <w:lang w:val="el-GR"/>
              </w:rPr>
              <w:t xml:space="preserve">Το μάθημα αυτό έχει σκοπό να παρουσιάσει </w:t>
            </w:r>
            <w:r>
              <w:rPr>
                <w:rFonts w:asciiTheme="minorHAnsi" w:hAnsiTheme="minorHAnsi" w:cstheme="minorHAnsi"/>
                <w:color w:val="002060"/>
                <w:sz w:val="22"/>
                <w:szCs w:val="22"/>
                <w:lang w:val="el-GR"/>
              </w:rPr>
              <w:t xml:space="preserve">και να εφαρμόσει </w:t>
            </w:r>
            <w:r w:rsidRPr="00B94C18">
              <w:rPr>
                <w:rFonts w:asciiTheme="minorHAnsi" w:hAnsiTheme="minorHAnsi" w:cstheme="minorHAnsi"/>
                <w:color w:val="002060"/>
                <w:sz w:val="22"/>
                <w:szCs w:val="22"/>
                <w:lang w:val="el-GR"/>
              </w:rPr>
              <w:t>τ</w:t>
            </w:r>
            <w:r>
              <w:rPr>
                <w:rFonts w:asciiTheme="minorHAnsi" w:hAnsiTheme="minorHAnsi" w:cstheme="minorHAnsi"/>
                <w:color w:val="002060"/>
                <w:sz w:val="22"/>
                <w:szCs w:val="22"/>
                <w:lang w:val="el-GR"/>
              </w:rPr>
              <w:t>α</w:t>
            </w:r>
            <w:r w:rsidRPr="00B94C18">
              <w:rPr>
                <w:rFonts w:asciiTheme="minorHAnsi" w:hAnsiTheme="minorHAnsi" w:cstheme="minorHAnsi"/>
                <w:color w:val="002060"/>
                <w:sz w:val="22"/>
                <w:szCs w:val="22"/>
                <w:lang w:val="el-GR"/>
              </w:rPr>
              <w:t xml:space="preserve"> βασικά είδη αντασφάλισης.</w:t>
            </w:r>
          </w:p>
          <w:p w14:paraId="76627270" w14:textId="77777777" w:rsidR="003E46EF" w:rsidRDefault="003E46EF" w:rsidP="007F6F22">
            <w:pPr>
              <w:widowControl w:val="0"/>
              <w:autoSpaceDE w:val="0"/>
              <w:autoSpaceDN w:val="0"/>
              <w:adjustRightInd w:val="0"/>
              <w:spacing w:after="120"/>
              <w:contextualSpacing/>
              <w:jc w:val="both"/>
              <w:rPr>
                <w:rFonts w:asciiTheme="minorHAnsi" w:hAnsiTheme="minorHAnsi" w:cstheme="minorHAnsi"/>
                <w:color w:val="002060"/>
                <w:sz w:val="22"/>
                <w:szCs w:val="22"/>
                <w:lang w:val="el-GR"/>
              </w:rPr>
            </w:pPr>
          </w:p>
          <w:p w14:paraId="689B68A9" w14:textId="3A104075" w:rsidR="0098354E" w:rsidRPr="007F6F22" w:rsidRDefault="001F0FB8" w:rsidP="007F6F22">
            <w:pPr>
              <w:widowControl w:val="0"/>
              <w:autoSpaceDE w:val="0"/>
              <w:autoSpaceDN w:val="0"/>
              <w:adjustRightInd w:val="0"/>
              <w:contextualSpacing/>
              <w:jc w:val="both"/>
              <w:rPr>
                <w:rFonts w:asciiTheme="minorHAnsi" w:hAnsiTheme="minorHAnsi" w:cstheme="minorHAnsi"/>
                <w:color w:val="002060"/>
                <w:sz w:val="22"/>
                <w:szCs w:val="22"/>
                <w:lang w:val="el-GR"/>
              </w:rPr>
            </w:pPr>
            <w:r w:rsidRPr="00C70931">
              <w:rPr>
                <w:rFonts w:asciiTheme="minorHAnsi" w:hAnsiTheme="minorHAnsi" w:cstheme="minorHAnsi"/>
                <w:color w:val="002060"/>
                <w:sz w:val="22"/>
                <w:szCs w:val="22"/>
                <w:lang w:val="el-GR" w:eastAsia="el-GR"/>
              </w:rPr>
              <w:t>Μετά την επιτυχή ολοκλήρωση του μαθήματος οι φοιτητές θα είναι σε θέση</w:t>
            </w:r>
            <w:r w:rsidR="0098354E">
              <w:rPr>
                <w:rFonts w:asciiTheme="minorHAnsi" w:hAnsiTheme="minorHAnsi" w:cstheme="minorHAnsi"/>
                <w:color w:val="002060"/>
                <w:sz w:val="22"/>
                <w:szCs w:val="22"/>
                <w:lang w:val="el-GR" w:eastAsia="el-GR"/>
              </w:rPr>
              <w:t xml:space="preserve"> </w:t>
            </w:r>
            <w:r w:rsidR="0098354E" w:rsidRPr="0098354E">
              <w:rPr>
                <w:rFonts w:cs="Arial"/>
                <w:color w:val="002060"/>
                <w:lang w:val="el-GR"/>
              </w:rPr>
              <w:t xml:space="preserve">να: </w:t>
            </w:r>
          </w:p>
          <w:p w14:paraId="252CAE02" w14:textId="7BC15CF9" w:rsidR="0098354E" w:rsidRPr="0098354E" w:rsidRDefault="0098354E" w:rsidP="001F4E56">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sidRPr="0098354E">
              <w:rPr>
                <w:rFonts w:cs="Arial"/>
                <w:color w:val="002060"/>
              </w:rPr>
              <w:t xml:space="preserve">αναγνωρίζουν τα βασικά </w:t>
            </w:r>
            <w:r w:rsidR="00B94C18">
              <w:rPr>
                <w:rFonts w:cs="Arial"/>
                <w:color w:val="002060"/>
              </w:rPr>
              <w:t>σχήματα αντασφάλισης</w:t>
            </w:r>
            <w:r>
              <w:rPr>
                <w:rFonts w:cs="Arial"/>
                <w:color w:val="002060"/>
              </w:rPr>
              <w:t>,</w:t>
            </w:r>
          </w:p>
          <w:p w14:paraId="07771841" w14:textId="59611076" w:rsidR="00F03B25" w:rsidRDefault="0098354E" w:rsidP="001F4E56">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sidRPr="0098354E">
              <w:rPr>
                <w:rFonts w:cs="Arial"/>
                <w:color w:val="002060"/>
              </w:rPr>
              <w:t>τιμολογούν</w:t>
            </w:r>
            <w:r>
              <w:rPr>
                <w:rFonts w:cs="Arial"/>
                <w:color w:val="002060"/>
              </w:rPr>
              <w:t xml:space="preserve"> </w:t>
            </w:r>
            <w:r w:rsidR="00B94C18">
              <w:rPr>
                <w:rFonts w:cs="Arial"/>
                <w:color w:val="002060"/>
              </w:rPr>
              <w:t>(</w:t>
            </w:r>
            <w:proofErr w:type="spellStart"/>
            <w:r w:rsidR="00B94C18">
              <w:rPr>
                <w:rFonts w:cs="Arial"/>
                <w:color w:val="002060"/>
              </w:rPr>
              <w:t>αντ</w:t>
            </w:r>
            <w:proofErr w:type="spellEnd"/>
            <w:r w:rsidR="00B94C18">
              <w:rPr>
                <w:rFonts w:cs="Arial"/>
                <w:color w:val="002060"/>
              </w:rPr>
              <w:t>)ασφάλιστρα</w:t>
            </w:r>
            <w:r>
              <w:rPr>
                <w:rFonts w:cs="Arial"/>
                <w:color w:val="002060"/>
              </w:rPr>
              <w:t xml:space="preserve"> </w:t>
            </w:r>
            <w:r w:rsidR="00B94C18">
              <w:rPr>
                <w:rFonts w:cs="Arial"/>
                <w:color w:val="002060"/>
              </w:rPr>
              <w:t>με βάση το κατάλληλο σχήμα αντασφάλισης</w:t>
            </w:r>
            <w:r>
              <w:rPr>
                <w:rFonts w:cs="Arial"/>
                <w:color w:val="002060"/>
              </w:rPr>
              <w:t>,</w:t>
            </w:r>
          </w:p>
          <w:p w14:paraId="30B1CB9F" w14:textId="010053B5" w:rsidR="0098354E" w:rsidRPr="005233C3" w:rsidRDefault="005233C3" w:rsidP="001F4E56">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Pr>
                <w:rFonts w:cs="Arial"/>
                <w:color w:val="002060"/>
              </w:rPr>
              <w:t xml:space="preserve">αξιοποιούν γνώσεις </w:t>
            </w:r>
            <w:r w:rsidR="00246AE0">
              <w:rPr>
                <w:rFonts w:cs="Arial"/>
                <w:color w:val="002060"/>
              </w:rPr>
              <w:t>θεωρίας πιθανοτήτων</w:t>
            </w:r>
            <w:r>
              <w:rPr>
                <w:rFonts w:cs="Arial"/>
                <w:color w:val="002060"/>
              </w:rPr>
              <w:t xml:space="preserve"> για την επίλυση προβλημάτων </w:t>
            </w:r>
            <w:r w:rsidR="00B94C18">
              <w:rPr>
                <w:rFonts w:cs="Arial"/>
                <w:color w:val="002060"/>
              </w:rPr>
              <w:t>αντασφάλισης</w:t>
            </w:r>
            <w:r>
              <w:rPr>
                <w:rFonts w:cs="Arial"/>
                <w:color w:val="002060"/>
              </w:rPr>
              <w:t>.</w:t>
            </w:r>
          </w:p>
        </w:tc>
      </w:tr>
      <w:tr w:rsidR="000F4FD4" w:rsidRPr="00705AAD" w14:paraId="0ADE5B2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92F69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5D5BF8" w14:paraId="356B56E2" w14:textId="77777777" w:rsidTr="00305D37">
        <w:tc>
          <w:tcPr>
            <w:tcW w:w="8472" w:type="dxa"/>
            <w:gridSpan w:val="2"/>
            <w:tcBorders>
              <w:top w:val="nil"/>
              <w:bottom w:val="nil"/>
            </w:tcBorders>
            <w:shd w:val="clear" w:color="auto" w:fill="DDD9C3" w:themeFill="background2" w:themeFillShade="E6"/>
          </w:tcPr>
          <w:p w14:paraId="0F5B1CC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DD096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F0E11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F8D4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4F0967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CCA38F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34F72E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9CDF9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DDB31D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13F0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1003D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213877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E4145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92663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0D67E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4FAED24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4C21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75587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728E4C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D5BF8" w14:paraId="2C0ACC11" w14:textId="77777777" w:rsidTr="00305D37">
        <w:tc>
          <w:tcPr>
            <w:tcW w:w="8472" w:type="dxa"/>
            <w:gridSpan w:val="2"/>
            <w:tcBorders>
              <w:bottom w:val="single" w:sz="4" w:space="0" w:color="auto"/>
            </w:tcBorders>
          </w:tcPr>
          <w:p w14:paraId="79E449BF" w14:textId="5CDDCFFB" w:rsidR="00CD41A4" w:rsidRPr="00CD41A4" w:rsidRDefault="00CD41A4" w:rsidP="001F4E56">
            <w:pPr>
              <w:pStyle w:val="ListParagraph"/>
              <w:widowControl w:val="0"/>
              <w:numPr>
                <w:ilvl w:val="0"/>
                <w:numId w:val="11"/>
              </w:numPr>
              <w:autoSpaceDE w:val="0"/>
              <w:autoSpaceDN w:val="0"/>
              <w:adjustRightInd w:val="0"/>
              <w:ind w:left="388"/>
              <w:rPr>
                <w:rFonts w:eastAsia="Calibri"/>
                <w:color w:val="002060"/>
              </w:rPr>
            </w:pPr>
            <w:r w:rsidRPr="00CD41A4">
              <w:rPr>
                <w:rFonts w:eastAsia="Calibri"/>
                <w:color w:val="002060"/>
              </w:rPr>
              <w:lastRenderedPageBreak/>
              <w:t>Αναζήτηση, ανάλυση και σύνθεση δεδομένων και πληροφοριών, με τη χρήση και των απαραίτητων τεχνολογιών</w:t>
            </w:r>
            <w:r w:rsidR="0043441C">
              <w:rPr>
                <w:rFonts w:eastAsia="Calibri"/>
                <w:color w:val="002060"/>
              </w:rPr>
              <w:t>,</w:t>
            </w:r>
          </w:p>
          <w:p w14:paraId="79FDC0E2" w14:textId="77777777" w:rsidR="001F4E56" w:rsidRPr="001F4E56" w:rsidRDefault="0043441C" w:rsidP="001F4E56">
            <w:pPr>
              <w:pStyle w:val="ListParagraph"/>
              <w:widowControl w:val="0"/>
              <w:numPr>
                <w:ilvl w:val="0"/>
                <w:numId w:val="11"/>
              </w:numPr>
              <w:autoSpaceDE w:val="0"/>
              <w:autoSpaceDN w:val="0"/>
              <w:adjustRightInd w:val="0"/>
              <w:ind w:left="388"/>
              <w:rPr>
                <w:rFonts w:cs="Arial"/>
                <w:i/>
                <w:sz w:val="16"/>
                <w:szCs w:val="16"/>
              </w:rPr>
            </w:pPr>
            <w:r>
              <w:rPr>
                <w:rFonts w:eastAsia="Calibri"/>
                <w:color w:val="002060"/>
              </w:rPr>
              <w:t>λ</w:t>
            </w:r>
            <w:r w:rsidR="001F0FB8">
              <w:rPr>
                <w:rFonts w:eastAsia="Calibri"/>
                <w:color w:val="002060"/>
              </w:rPr>
              <w:t>ήψη αποφάσεων</w:t>
            </w:r>
            <w:r w:rsidR="000D543B">
              <w:rPr>
                <w:rFonts w:eastAsia="Calibri"/>
                <w:color w:val="002060"/>
              </w:rPr>
              <w:t xml:space="preserve"> για την εκτίμηση </w:t>
            </w:r>
            <w:proofErr w:type="spellStart"/>
            <w:r w:rsidR="00B94C18">
              <w:rPr>
                <w:rFonts w:eastAsia="Calibri"/>
                <w:color w:val="002060"/>
              </w:rPr>
              <w:t>αντασφαλίστρου</w:t>
            </w:r>
            <w:proofErr w:type="spellEnd"/>
            <w:r>
              <w:rPr>
                <w:rFonts w:eastAsia="Calibri"/>
                <w:color w:val="002060"/>
              </w:rPr>
              <w:t>,</w:t>
            </w:r>
          </w:p>
          <w:p w14:paraId="02059AA8" w14:textId="6F85C5AF" w:rsidR="000F4FD4" w:rsidRPr="00705AAD" w:rsidRDefault="0043441C" w:rsidP="001F4E56">
            <w:pPr>
              <w:pStyle w:val="ListParagraph"/>
              <w:widowControl w:val="0"/>
              <w:numPr>
                <w:ilvl w:val="0"/>
                <w:numId w:val="11"/>
              </w:numPr>
              <w:autoSpaceDE w:val="0"/>
              <w:autoSpaceDN w:val="0"/>
              <w:adjustRightInd w:val="0"/>
              <w:ind w:left="388"/>
              <w:rPr>
                <w:rFonts w:cs="Arial"/>
                <w:i/>
                <w:sz w:val="16"/>
                <w:szCs w:val="16"/>
              </w:rPr>
            </w:pPr>
            <w:r>
              <w:rPr>
                <w:rFonts w:eastAsia="Calibri"/>
                <w:color w:val="002060"/>
              </w:rPr>
              <w:t>α</w:t>
            </w:r>
            <w:r w:rsidR="00CF0D64" w:rsidRPr="00CD41A4">
              <w:rPr>
                <w:rFonts w:eastAsia="Calibri"/>
                <w:color w:val="002060"/>
              </w:rPr>
              <w:t xml:space="preserve">πόκτηση </w:t>
            </w:r>
            <w:r w:rsidR="000110B3">
              <w:rPr>
                <w:rFonts w:eastAsia="Calibri"/>
                <w:color w:val="002060"/>
              </w:rPr>
              <w:t>ε</w:t>
            </w:r>
            <w:r w:rsidR="00CF0D64" w:rsidRPr="00CD41A4">
              <w:rPr>
                <w:rFonts w:eastAsia="Calibri"/>
                <w:color w:val="002060"/>
              </w:rPr>
              <w:t xml:space="preserve">μπειρίας </w:t>
            </w:r>
            <w:r w:rsidR="000F55A3" w:rsidRPr="00CD41A4">
              <w:rPr>
                <w:rFonts w:eastAsia="Calibri"/>
                <w:color w:val="002060"/>
              </w:rPr>
              <w:t xml:space="preserve">σε </w:t>
            </w:r>
            <w:r w:rsidR="000110B3">
              <w:rPr>
                <w:rFonts w:eastAsia="Calibri"/>
                <w:color w:val="002060"/>
              </w:rPr>
              <w:t>π</w:t>
            </w:r>
            <w:r w:rsidR="000F55A3" w:rsidRPr="00CD41A4">
              <w:rPr>
                <w:rFonts w:eastAsia="Calibri"/>
                <w:color w:val="002060"/>
              </w:rPr>
              <w:t xml:space="preserve">ροβλήματα </w:t>
            </w:r>
            <w:r w:rsidR="000110B3">
              <w:rPr>
                <w:rFonts w:eastAsia="Calibri"/>
                <w:color w:val="002060"/>
              </w:rPr>
              <w:t>α</w:t>
            </w:r>
            <w:r w:rsidR="00CD41A4" w:rsidRPr="00CD41A4">
              <w:rPr>
                <w:rFonts w:eastAsia="Calibri"/>
                <w:color w:val="002060"/>
              </w:rPr>
              <w:t xml:space="preserve">ναλογισμού και </w:t>
            </w:r>
            <w:r w:rsidR="000110B3">
              <w:rPr>
                <w:rFonts w:eastAsia="Calibri"/>
                <w:color w:val="002060"/>
              </w:rPr>
              <w:t>α</w:t>
            </w:r>
            <w:r w:rsidR="00CD41A4" w:rsidRPr="00CD41A4">
              <w:rPr>
                <w:rFonts w:eastAsia="Calibri"/>
                <w:color w:val="002060"/>
              </w:rPr>
              <w:t xml:space="preserve">σφαλιστικής </w:t>
            </w:r>
            <w:r w:rsidR="000110B3">
              <w:rPr>
                <w:rFonts w:eastAsia="Calibri"/>
                <w:color w:val="002060"/>
              </w:rPr>
              <w:t>ε</w:t>
            </w:r>
            <w:r w:rsidR="00CD41A4" w:rsidRPr="00CD41A4">
              <w:rPr>
                <w:rFonts w:eastAsia="Calibri"/>
                <w:color w:val="002060"/>
              </w:rPr>
              <w:t>πιστήμης</w:t>
            </w:r>
            <w:r>
              <w:rPr>
                <w:rFonts w:eastAsia="Calibri"/>
                <w:color w:val="002060"/>
              </w:rPr>
              <w:t>.</w:t>
            </w:r>
          </w:p>
        </w:tc>
      </w:tr>
    </w:tbl>
    <w:p w14:paraId="35436206"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D5BF8" w14:paraId="1F6903AF" w14:textId="77777777" w:rsidTr="007673F3">
        <w:tc>
          <w:tcPr>
            <w:tcW w:w="8472" w:type="dxa"/>
          </w:tcPr>
          <w:p w14:paraId="52A50D66" w14:textId="77777777"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Εισαγωγή στην Αντασφάλιση. Ορισμοί και Είδη της Αντασφάλισης.</w:t>
            </w:r>
          </w:p>
          <w:p w14:paraId="20FFE6B0" w14:textId="1B613209"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Αντασφάλιση Υπερβάλλοντος Ζημίας. Αντασφάλιση Ανακοπής Ζημίας.</w:t>
            </w:r>
            <w:r>
              <w:rPr>
                <w:rFonts w:cs="Arial"/>
                <w:color w:val="002060"/>
              </w:rPr>
              <w:t xml:space="preserve"> Α</w:t>
            </w:r>
            <w:r w:rsidRPr="00C97499">
              <w:rPr>
                <w:rFonts w:cs="Arial"/>
                <w:color w:val="002060"/>
              </w:rPr>
              <w:t>ντασφάλιση Αναλογικής Ζημίας.</w:t>
            </w:r>
          </w:p>
          <w:p w14:paraId="14419F3E" w14:textId="77777777"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Κατανομή του Αριθμού Ατυχημάτων και του Ύψους Ζημιών για τις Αποζημιώσεις του Αντασφαλιστή.</w:t>
            </w:r>
          </w:p>
          <w:p w14:paraId="47F68D51" w14:textId="77777777" w:rsid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Συναρτήσεις Ωφελιμότητας.</w:t>
            </w:r>
          </w:p>
          <w:p w14:paraId="18456105" w14:textId="6F987CBF" w:rsid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 xml:space="preserve">Τιμολόγηση Συμβολαίων Αντασφάλισης. </w:t>
            </w:r>
          </w:p>
          <w:p w14:paraId="33A38C46" w14:textId="757CA4DA"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Επιλογή της Αναλογίας της Αντασφάλισης.</w:t>
            </w:r>
            <w:r>
              <w:rPr>
                <w:rFonts w:cs="Arial"/>
                <w:color w:val="002060"/>
              </w:rPr>
              <w:t xml:space="preserve"> </w:t>
            </w:r>
            <w:r w:rsidRPr="00C97499">
              <w:rPr>
                <w:rFonts w:cs="Arial"/>
                <w:color w:val="002060"/>
              </w:rPr>
              <w:t>Κατώφλι Υπερβάλλοντος Ζημίας. Κατώφλι Ανακοπής Ζημίας.</w:t>
            </w:r>
          </w:p>
          <w:p w14:paraId="24491CCB" w14:textId="77777777"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Χρηματοοικονομική Προσέγγιση στην Τιμολόγηση της Αντασφάλισης. Αντιστάθμιση των Κινδύνων του Αντασφαλιστή.</w:t>
            </w:r>
          </w:p>
          <w:p w14:paraId="23E2568A" w14:textId="77777777" w:rsidR="00C97499" w:rsidRPr="00C97499"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Καθορισμός των Ελάχιστων Αποδεκτών Αποθεματικών του Αντασφαλιστή. Πιθανότητα Χρεοκοπίας του Αντασφαλιστή.</w:t>
            </w:r>
          </w:p>
          <w:p w14:paraId="34363A58" w14:textId="3D1EA7DA" w:rsidR="000F4FD4" w:rsidRPr="009D751A" w:rsidRDefault="00C97499" w:rsidP="001F4E56">
            <w:pPr>
              <w:pStyle w:val="ListParagraph"/>
              <w:numPr>
                <w:ilvl w:val="0"/>
                <w:numId w:val="4"/>
              </w:numPr>
              <w:autoSpaceDE w:val="0"/>
              <w:autoSpaceDN w:val="0"/>
              <w:adjustRightInd w:val="0"/>
              <w:ind w:left="388"/>
              <w:rPr>
                <w:rFonts w:cs="Arial"/>
                <w:color w:val="002060"/>
              </w:rPr>
            </w:pPr>
            <w:r w:rsidRPr="00C97499">
              <w:rPr>
                <w:rFonts w:cs="Arial"/>
                <w:color w:val="002060"/>
              </w:rPr>
              <w:t>Ανάλυση Κερδοφορίας Αντασφαλιστή. Βέλτιστη Διαχείριση των Αποθεματικών του Αντασφαλιστή.</w:t>
            </w:r>
          </w:p>
        </w:tc>
      </w:tr>
    </w:tbl>
    <w:p w14:paraId="1ABF0F84"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D5BF8" w14:paraId="07288FC5" w14:textId="77777777" w:rsidTr="007673F3">
        <w:tc>
          <w:tcPr>
            <w:tcW w:w="3306" w:type="dxa"/>
            <w:shd w:val="clear" w:color="auto" w:fill="DDD9C3" w:themeFill="background2" w:themeFillShade="E6"/>
          </w:tcPr>
          <w:p w14:paraId="2EC3049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26566E2" w14:textId="2736C0B0" w:rsidR="009D751A" w:rsidRPr="00246AE0" w:rsidRDefault="00246AE0" w:rsidP="000D3D80">
            <w:pPr>
              <w:spacing w:after="200"/>
              <w:rPr>
                <w:rFonts w:ascii="Calibri" w:eastAsia="Calibri" w:hAnsi="Calibri"/>
                <w:iCs/>
                <w:color w:val="002060"/>
                <w:sz w:val="22"/>
                <w:szCs w:val="22"/>
                <w:lang w:val="el-GR"/>
              </w:rPr>
            </w:pPr>
            <w:r>
              <w:rPr>
                <w:rFonts w:ascii="Calibri" w:eastAsia="Calibri" w:hAnsi="Calibri"/>
                <w:iCs/>
                <w:color w:val="002060"/>
                <w:sz w:val="22"/>
                <w:szCs w:val="22"/>
                <w:lang w:val="el-GR"/>
              </w:rPr>
              <w:t>Πρόσωπο με Πρόσωπο</w:t>
            </w:r>
            <w:r w:rsidR="00A712BB" w:rsidRPr="000110B3">
              <w:rPr>
                <w:rFonts w:ascii="Calibri" w:eastAsia="Calibri" w:hAnsi="Calibri"/>
                <w:iCs/>
                <w:color w:val="002060"/>
                <w:sz w:val="22"/>
                <w:szCs w:val="22"/>
                <w:lang w:val="el-GR"/>
              </w:rPr>
              <w:t xml:space="preserve">  (Σε </w:t>
            </w:r>
            <w:r w:rsidR="000D3D80" w:rsidRPr="000110B3">
              <w:rPr>
                <w:rFonts w:ascii="Calibri" w:eastAsia="Calibri" w:hAnsi="Calibri"/>
                <w:iCs/>
                <w:color w:val="002060"/>
                <w:sz w:val="22"/>
                <w:szCs w:val="22"/>
                <w:lang w:val="el-GR"/>
              </w:rPr>
              <w:t>α</w:t>
            </w:r>
            <w:r w:rsidR="00A712BB" w:rsidRPr="000110B3">
              <w:rPr>
                <w:rFonts w:ascii="Calibri" w:eastAsia="Calibri" w:hAnsi="Calibri"/>
                <w:iCs/>
                <w:color w:val="002060"/>
                <w:sz w:val="22"/>
                <w:szCs w:val="22"/>
                <w:lang w:val="el-GR"/>
              </w:rPr>
              <w:t xml:space="preserve">ίθουσα </w:t>
            </w:r>
            <w:r w:rsidR="000D3D80" w:rsidRPr="000110B3">
              <w:rPr>
                <w:rFonts w:ascii="Calibri" w:eastAsia="Calibri" w:hAnsi="Calibri"/>
                <w:iCs/>
                <w:color w:val="002060"/>
                <w:sz w:val="22"/>
                <w:szCs w:val="22"/>
                <w:lang w:val="el-GR"/>
              </w:rPr>
              <w:t>δ</w:t>
            </w:r>
            <w:r w:rsidR="00A712BB" w:rsidRPr="000110B3">
              <w:rPr>
                <w:rFonts w:ascii="Calibri" w:eastAsia="Calibri" w:hAnsi="Calibri"/>
                <w:iCs/>
                <w:color w:val="002060"/>
                <w:sz w:val="22"/>
                <w:szCs w:val="22"/>
                <w:lang w:val="el-GR"/>
              </w:rPr>
              <w:t>ιδασκαλίας)</w:t>
            </w:r>
            <w:r w:rsidR="009D751A" w:rsidRPr="009D751A">
              <w:rPr>
                <w:rFonts w:ascii="Calibri" w:eastAsia="Calibri" w:hAnsi="Calibri"/>
                <w:iCs/>
                <w:color w:val="002060"/>
                <w:sz w:val="22"/>
                <w:szCs w:val="22"/>
                <w:lang w:val="el-GR"/>
              </w:rPr>
              <w:t>.</w:t>
            </w:r>
          </w:p>
        </w:tc>
      </w:tr>
      <w:tr w:rsidR="00246AE0" w:rsidRPr="0028211C" w14:paraId="6B3BFC76" w14:textId="77777777" w:rsidTr="007673F3">
        <w:tc>
          <w:tcPr>
            <w:tcW w:w="3306" w:type="dxa"/>
            <w:shd w:val="clear" w:color="auto" w:fill="DDD9C3" w:themeFill="background2" w:themeFillShade="E6"/>
          </w:tcPr>
          <w:p w14:paraId="79447B44" w14:textId="4B82301F" w:rsidR="00246AE0" w:rsidRPr="00705AAD" w:rsidRDefault="00246AE0" w:rsidP="00246AE0">
            <w:pPr>
              <w:jc w:val="right"/>
              <w:rPr>
                <w:rFonts w:ascii="Calibri" w:hAnsi="Calibri" w:cs="Arial"/>
                <w:b/>
                <w:sz w:val="20"/>
                <w:szCs w:val="20"/>
                <w:lang w:val="el-GR"/>
              </w:rPr>
            </w:pPr>
            <w:r w:rsidRPr="00175EC5">
              <w:rPr>
                <w:rFonts w:ascii="Calibri" w:hAnsi="Calibri" w:cs="Arial"/>
                <w:b/>
                <w:sz w:val="20"/>
                <w:szCs w:val="20"/>
                <w:lang w:val="el-GR"/>
              </w:rPr>
              <w:t>ΧΡΗΣΗ ΤΕΧΝΟΛΟΓΙΩΝ ΠΛΗΡΟΦΟΡΙΑΣ ΚΑΙ ΕΠΙΚΟΙΝΩΝΙΩΝ</w:t>
            </w:r>
            <w:r w:rsidRPr="00175EC5">
              <w:rPr>
                <w:rFonts w:ascii="Calibri" w:hAnsi="Calibri" w:cs="Arial"/>
                <w:b/>
                <w:sz w:val="20"/>
                <w:szCs w:val="20"/>
                <w:lang w:val="el-GR"/>
              </w:rPr>
              <w:br/>
            </w:r>
            <w:r w:rsidRPr="00175EC5">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C7CF4B8" w14:textId="2BACD551" w:rsidR="00246AE0" w:rsidRPr="00582F77" w:rsidRDefault="008E0E47" w:rsidP="00246AE0">
            <w:pPr>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1. </w:t>
            </w:r>
            <w:r w:rsidR="00246AE0" w:rsidRPr="00582F77">
              <w:rPr>
                <w:rFonts w:ascii="Calibri" w:eastAsia="Calibri" w:hAnsi="Calibri"/>
                <w:iCs/>
                <w:color w:val="002060"/>
                <w:sz w:val="22"/>
                <w:szCs w:val="22"/>
                <w:lang w:val="el-GR"/>
              </w:rPr>
              <w:t xml:space="preserve">Διδασκαλία και με χρήση </w:t>
            </w:r>
            <w:proofErr w:type="spellStart"/>
            <w:r w:rsidR="00246AE0" w:rsidRPr="00582F77">
              <w:rPr>
                <w:rFonts w:ascii="Calibri" w:eastAsia="Calibri" w:hAnsi="Calibri"/>
                <w:iCs/>
                <w:color w:val="002060"/>
                <w:sz w:val="22"/>
                <w:szCs w:val="22"/>
                <w:lang w:val="el-GR"/>
              </w:rPr>
              <w:t>projector</w:t>
            </w:r>
            <w:proofErr w:type="spellEnd"/>
            <w:r w:rsidR="00246AE0" w:rsidRPr="00582F77">
              <w:rPr>
                <w:rFonts w:ascii="Calibri" w:eastAsia="Calibri" w:hAnsi="Calibri"/>
                <w:iCs/>
                <w:color w:val="002060"/>
                <w:sz w:val="22"/>
                <w:szCs w:val="22"/>
                <w:lang w:val="el-GR"/>
              </w:rPr>
              <w:t>.</w:t>
            </w:r>
          </w:p>
          <w:p w14:paraId="40C5206B" w14:textId="5D2A802E" w:rsidR="00246AE0" w:rsidRPr="00582F77" w:rsidRDefault="008E0E47" w:rsidP="00246AE0">
            <w:pPr>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2. </w:t>
            </w:r>
            <w:r w:rsidR="00246AE0" w:rsidRPr="00582F77">
              <w:rPr>
                <w:rFonts w:ascii="Calibri" w:eastAsia="Calibri" w:hAnsi="Calibri"/>
                <w:iCs/>
                <w:color w:val="002060"/>
                <w:sz w:val="22"/>
                <w:szCs w:val="22"/>
                <w:lang w:val="el-GR"/>
              </w:rPr>
              <w:t xml:space="preserve">Χρήση της πλατφόρμας ασύγχρονης </w:t>
            </w:r>
            <w:r w:rsidRPr="00582F77">
              <w:rPr>
                <w:rFonts w:ascii="Calibri" w:eastAsia="Calibri" w:hAnsi="Calibri"/>
                <w:iCs/>
                <w:color w:val="002060"/>
                <w:sz w:val="22"/>
                <w:szCs w:val="22"/>
                <w:lang w:val="el-GR"/>
              </w:rPr>
              <w:t>τ</w:t>
            </w:r>
            <w:r w:rsidR="00246AE0" w:rsidRPr="00582F77">
              <w:rPr>
                <w:rFonts w:ascii="Calibri" w:eastAsia="Calibri" w:hAnsi="Calibri"/>
                <w:iCs/>
                <w:color w:val="002060"/>
                <w:sz w:val="22"/>
                <w:szCs w:val="22"/>
                <w:lang w:val="el-GR"/>
              </w:rPr>
              <w:t>ηλεκπαίδευσης  e-</w:t>
            </w:r>
            <w:proofErr w:type="spellStart"/>
            <w:r w:rsidR="00246AE0" w:rsidRPr="00582F77">
              <w:rPr>
                <w:rFonts w:ascii="Calibri" w:eastAsia="Calibri" w:hAnsi="Calibri"/>
                <w:iCs/>
                <w:color w:val="002060"/>
                <w:sz w:val="22"/>
                <w:szCs w:val="22"/>
                <w:lang w:val="el-GR"/>
              </w:rPr>
              <w:t>class</w:t>
            </w:r>
            <w:proofErr w:type="spellEnd"/>
            <w:r w:rsidR="00246AE0" w:rsidRPr="00582F77">
              <w:rPr>
                <w:rFonts w:ascii="Calibri" w:eastAsia="Calibri" w:hAnsi="Calibri"/>
                <w:iCs/>
                <w:color w:val="002060"/>
                <w:sz w:val="22"/>
                <w:szCs w:val="22"/>
                <w:lang w:val="el-GR"/>
              </w:rPr>
              <w:t xml:space="preserve">. </w:t>
            </w:r>
          </w:p>
          <w:p w14:paraId="604FE7E6" w14:textId="62F52EFA" w:rsidR="00246AE0" w:rsidRPr="00582F77" w:rsidRDefault="008E0E47" w:rsidP="00246AE0">
            <w:pPr>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3. </w:t>
            </w:r>
            <w:r w:rsidR="00246AE0" w:rsidRPr="00582F77">
              <w:rPr>
                <w:rFonts w:ascii="Calibri" w:eastAsia="Calibri" w:hAnsi="Calibri"/>
                <w:iCs/>
                <w:color w:val="002060"/>
                <w:sz w:val="22"/>
                <w:szCs w:val="22"/>
                <w:lang w:val="el-GR"/>
              </w:rPr>
              <w:t xml:space="preserve">Χρήση της πλατφόρμας εξ αποστάσεως εκπαίδευσης </w:t>
            </w:r>
            <w:r w:rsidR="00246AE0" w:rsidRPr="00582F77">
              <w:rPr>
                <w:rFonts w:ascii="Calibri" w:eastAsia="Calibri" w:hAnsi="Calibri"/>
                <w:iCs/>
                <w:color w:val="002060"/>
                <w:sz w:val="22"/>
                <w:szCs w:val="22"/>
                <w:lang w:val="en-GB"/>
              </w:rPr>
              <w:t>MS</w:t>
            </w:r>
            <w:r w:rsidR="00246AE0" w:rsidRPr="00582F77">
              <w:rPr>
                <w:rFonts w:ascii="Calibri" w:eastAsia="Calibri" w:hAnsi="Calibri"/>
                <w:iCs/>
                <w:color w:val="002060"/>
                <w:sz w:val="22"/>
                <w:szCs w:val="22"/>
                <w:lang w:val="el-GR"/>
              </w:rPr>
              <w:t xml:space="preserve"> </w:t>
            </w:r>
            <w:r w:rsidR="00246AE0" w:rsidRPr="00582F77">
              <w:rPr>
                <w:rFonts w:ascii="Calibri" w:eastAsia="Calibri" w:hAnsi="Calibri"/>
                <w:iCs/>
                <w:color w:val="002060"/>
                <w:sz w:val="22"/>
                <w:szCs w:val="22"/>
                <w:lang w:val="en-GB"/>
              </w:rPr>
              <w:t>Teams</w:t>
            </w:r>
            <w:r w:rsidR="00246AE0" w:rsidRPr="00582F77">
              <w:rPr>
                <w:rFonts w:ascii="Calibri" w:eastAsia="Calibri" w:hAnsi="Calibri"/>
                <w:iCs/>
                <w:color w:val="002060"/>
                <w:sz w:val="22"/>
                <w:szCs w:val="22"/>
                <w:lang w:val="el-GR"/>
              </w:rPr>
              <w:t>.</w:t>
            </w:r>
          </w:p>
          <w:p w14:paraId="5339CB60" w14:textId="247CCDF0" w:rsidR="00246AE0" w:rsidRPr="00246AE0" w:rsidRDefault="008E0E47" w:rsidP="00246AE0">
            <w:pPr>
              <w:spacing w:after="200"/>
              <w:rPr>
                <w:rFonts w:ascii="Calibri" w:eastAsia="Calibri" w:hAnsi="Calibri"/>
                <w:iCs/>
                <w:color w:val="002060"/>
                <w:sz w:val="22"/>
                <w:szCs w:val="22"/>
                <w:lang w:val="el-GR"/>
              </w:rPr>
            </w:pPr>
            <w:r w:rsidRPr="00582F77">
              <w:rPr>
                <w:rFonts w:ascii="Calibri" w:eastAsia="Calibri" w:hAnsi="Calibri"/>
                <w:iCs/>
                <w:color w:val="002060"/>
                <w:sz w:val="22"/>
                <w:szCs w:val="22"/>
                <w:lang w:val="el-GR"/>
              </w:rPr>
              <w:t xml:space="preserve">4. </w:t>
            </w:r>
            <w:r w:rsidR="00246AE0" w:rsidRPr="00582F77">
              <w:rPr>
                <w:rFonts w:ascii="Calibri" w:eastAsia="Calibri" w:hAnsi="Calibri"/>
                <w:iCs/>
                <w:color w:val="002060"/>
                <w:sz w:val="22"/>
                <w:szCs w:val="22"/>
                <w:lang w:val="el-GR"/>
              </w:rPr>
              <w:t>Επικοινωνία μέσω email</w:t>
            </w:r>
            <w:r w:rsidR="00C2737F" w:rsidRPr="00582F77">
              <w:rPr>
                <w:rFonts w:ascii="Calibri" w:eastAsia="Calibri" w:hAnsi="Calibri"/>
                <w:iCs/>
                <w:color w:val="002060"/>
                <w:sz w:val="22"/>
                <w:szCs w:val="22"/>
                <w:lang w:val="el-GR"/>
              </w:rPr>
              <w:t>.</w:t>
            </w:r>
          </w:p>
        </w:tc>
      </w:tr>
      <w:tr w:rsidR="000F4FD4" w:rsidRPr="00705AAD" w14:paraId="72F37012" w14:textId="77777777" w:rsidTr="007673F3">
        <w:tc>
          <w:tcPr>
            <w:tcW w:w="3306" w:type="dxa"/>
            <w:shd w:val="clear" w:color="auto" w:fill="DDD9C3" w:themeFill="background2" w:themeFillShade="E6"/>
          </w:tcPr>
          <w:p w14:paraId="5F22895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AFC45B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B0B7FA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32C30E3" w14:textId="77777777" w:rsidR="000F4FD4" w:rsidRPr="00705AAD" w:rsidRDefault="000F4FD4" w:rsidP="007673F3">
            <w:pPr>
              <w:jc w:val="both"/>
              <w:rPr>
                <w:rFonts w:ascii="Calibri" w:hAnsi="Calibri" w:cs="Arial"/>
                <w:i/>
                <w:sz w:val="16"/>
                <w:szCs w:val="16"/>
                <w:lang w:val="el-GR"/>
              </w:rPr>
            </w:pPr>
          </w:p>
          <w:p w14:paraId="215C2F7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DA09F95" w14:textId="77777777" w:rsidTr="007673F3">
              <w:tc>
                <w:tcPr>
                  <w:tcW w:w="2467" w:type="dxa"/>
                  <w:shd w:val="clear" w:color="auto" w:fill="DDD9C3" w:themeFill="background2" w:themeFillShade="E6"/>
                  <w:vAlign w:val="center"/>
                </w:tcPr>
                <w:p w14:paraId="68948D4A"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25FD332A"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2E99AE19" w14:textId="77777777" w:rsidTr="007673F3">
              <w:tc>
                <w:tcPr>
                  <w:tcW w:w="2467" w:type="dxa"/>
                </w:tcPr>
                <w:p w14:paraId="1617025B" w14:textId="7E25A657" w:rsidR="000F4FD4" w:rsidRPr="000110B3" w:rsidRDefault="007F0638" w:rsidP="00107C97">
                  <w:pPr>
                    <w:jc w:val="center"/>
                    <w:rPr>
                      <w:rFonts w:asciiTheme="minorHAnsi" w:hAnsiTheme="minorHAnsi" w:cstheme="minorHAnsi"/>
                      <w:iCs/>
                      <w:color w:val="002060"/>
                      <w:sz w:val="22"/>
                      <w:szCs w:val="22"/>
                      <w:lang w:val="el-GR"/>
                    </w:rPr>
                  </w:pPr>
                  <w:r w:rsidRPr="000110B3">
                    <w:rPr>
                      <w:rFonts w:asciiTheme="minorHAnsi" w:hAnsiTheme="minorHAnsi" w:cstheme="minorHAnsi"/>
                      <w:iCs/>
                      <w:color w:val="002060"/>
                      <w:sz w:val="22"/>
                      <w:szCs w:val="22"/>
                      <w:lang w:val="el-GR"/>
                    </w:rPr>
                    <w:t>Δ</w:t>
                  </w:r>
                  <w:r w:rsidR="008E0E47">
                    <w:rPr>
                      <w:rFonts w:asciiTheme="minorHAnsi" w:hAnsiTheme="minorHAnsi" w:cstheme="minorHAnsi"/>
                      <w:iCs/>
                      <w:color w:val="002060"/>
                      <w:sz w:val="22"/>
                      <w:szCs w:val="22"/>
                      <w:lang w:val="el-GR"/>
                    </w:rPr>
                    <w:t>ιαλέξεις</w:t>
                  </w:r>
                  <w:r w:rsidRPr="000110B3">
                    <w:rPr>
                      <w:rFonts w:asciiTheme="minorHAnsi" w:hAnsiTheme="minorHAnsi" w:cstheme="minorHAnsi"/>
                      <w:iCs/>
                      <w:color w:val="002060"/>
                      <w:sz w:val="22"/>
                      <w:szCs w:val="22"/>
                      <w:lang w:val="el-GR"/>
                    </w:rPr>
                    <w:t xml:space="preserve"> (</w:t>
                  </w:r>
                  <w:r w:rsidR="005F12F6" w:rsidRPr="000110B3">
                    <w:rPr>
                      <w:rFonts w:asciiTheme="minorHAnsi" w:hAnsiTheme="minorHAnsi" w:cstheme="minorHAnsi"/>
                      <w:iCs/>
                      <w:color w:val="002060"/>
                      <w:sz w:val="22"/>
                      <w:szCs w:val="22"/>
                      <w:lang w:val="el-GR"/>
                    </w:rPr>
                    <w:t>αίθουσα διδασκαλίας</w:t>
                  </w:r>
                  <w:r w:rsidRPr="000110B3">
                    <w:rPr>
                      <w:rFonts w:asciiTheme="minorHAnsi" w:hAnsiTheme="minorHAnsi" w:cstheme="minorHAnsi"/>
                      <w:iCs/>
                      <w:color w:val="002060"/>
                      <w:sz w:val="22"/>
                      <w:szCs w:val="22"/>
                      <w:lang w:val="el-GR"/>
                    </w:rPr>
                    <w:t>)</w:t>
                  </w:r>
                </w:p>
              </w:tc>
              <w:tc>
                <w:tcPr>
                  <w:tcW w:w="2468" w:type="dxa"/>
                </w:tcPr>
                <w:p w14:paraId="0BC20DD7" w14:textId="6B5A661C" w:rsidR="000F4FD4" w:rsidRPr="000110B3" w:rsidRDefault="005D5BF8" w:rsidP="00107C97">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39</w:t>
                  </w:r>
                </w:p>
              </w:tc>
            </w:tr>
            <w:tr w:rsidR="00DC48FF" w:rsidRPr="00705AAD" w14:paraId="6E099F4A" w14:textId="77777777" w:rsidTr="007673F3">
              <w:tc>
                <w:tcPr>
                  <w:tcW w:w="2467" w:type="dxa"/>
                  <w:shd w:val="clear" w:color="auto" w:fill="auto"/>
                </w:tcPr>
                <w:p w14:paraId="14FC6C35" w14:textId="7455548D" w:rsidR="00DC48FF" w:rsidRPr="000110B3" w:rsidRDefault="008E0E47" w:rsidP="00107C97">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Ασκήσεις</w:t>
                  </w:r>
                </w:p>
              </w:tc>
              <w:tc>
                <w:tcPr>
                  <w:tcW w:w="2468" w:type="dxa"/>
                </w:tcPr>
                <w:p w14:paraId="32CFEED1" w14:textId="3C8B925A" w:rsidR="00DC48FF" w:rsidRPr="00467308" w:rsidRDefault="00467308" w:rsidP="00107C97">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24</w:t>
                  </w:r>
                </w:p>
              </w:tc>
            </w:tr>
            <w:tr w:rsidR="000F4FD4" w:rsidRPr="00705AAD" w14:paraId="23CD18F4" w14:textId="77777777" w:rsidTr="007673F3">
              <w:tc>
                <w:tcPr>
                  <w:tcW w:w="2467" w:type="dxa"/>
                  <w:shd w:val="clear" w:color="auto" w:fill="auto"/>
                </w:tcPr>
                <w:p w14:paraId="16C12C86" w14:textId="721AFF78" w:rsidR="000F4FD4" w:rsidRPr="000110B3" w:rsidRDefault="00107C97" w:rsidP="00107C97">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Α</w:t>
                  </w:r>
                  <w:r w:rsidR="008E0E47">
                    <w:rPr>
                      <w:rFonts w:asciiTheme="minorHAnsi" w:hAnsiTheme="minorHAnsi" w:cstheme="minorHAnsi"/>
                      <w:iCs/>
                      <w:color w:val="002060"/>
                      <w:sz w:val="22"/>
                      <w:szCs w:val="22"/>
                      <w:lang w:val="el-GR"/>
                    </w:rPr>
                    <w:t>υτοτελής μελέτη</w:t>
                  </w:r>
                </w:p>
              </w:tc>
              <w:tc>
                <w:tcPr>
                  <w:tcW w:w="2468" w:type="dxa"/>
                </w:tcPr>
                <w:p w14:paraId="0BD5CAAD" w14:textId="5241007F" w:rsidR="000F4FD4" w:rsidRPr="000110B3" w:rsidRDefault="005D5BF8" w:rsidP="00107C97">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87</w:t>
                  </w:r>
                </w:p>
              </w:tc>
            </w:tr>
            <w:tr w:rsidR="008E0E47" w:rsidRPr="00705AAD" w14:paraId="7AD03AF3" w14:textId="77777777" w:rsidTr="007673F3">
              <w:tc>
                <w:tcPr>
                  <w:tcW w:w="2467" w:type="dxa"/>
                  <w:shd w:val="clear" w:color="auto" w:fill="auto"/>
                </w:tcPr>
                <w:p w14:paraId="154CE603" w14:textId="77777777" w:rsidR="008E0E47" w:rsidRDefault="008E0E47" w:rsidP="00107C97">
                  <w:pPr>
                    <w:jc w:val="center"/>
                    <w:rPr>
                      <w:rFonts w:asciiTheme="minorHAnsi" w:hAnsiTheme="minorHAnsi" w:cstheme="minorHAnsi"/>
                      <w:iCs/>
                      <w:color w:val="002060"/>
                      <w:sz w:val="22"/>
                      <w:szCs w:val="22"/>
                      <w:lang w:val="el-GR"/>
                    </w:rPr>
                  </w:pPr>
                </w:p>
              </w:tc>
              <w:tc>
                <w:tcPr>
                  <w:tcW w:w="2468" w:type="dxa"/>
                </w:tcPr>
                <w:p w14:paraId="4220AE6C" w14:textId="77777777" w:rsidR="008E0E47" w:rsidRDefault="008E0E47" w:rsidP="00107C97">
                  <w:pPr>
                    <w:jc w:val="center"/>
                    <w:rPr>
                      <w:rFonts w:asciiTheme="minorHAnsi" w:hAnsiTheme="minorHAnsi" w:cstheme="minorHAnsi"/>
                      <w:color w:val="002060"/>
                      <w:sz w:val="22"/>
                      <w:szCs w:val="22"/>
                      <w:lang w:val="el-GR"/>
                    </w:rPr>
                  </w:pPr>
                </w:p>
              </w:tc>
            </w:tr>
            <w:tr w:rsidR="008E0E47" w:rsidRPr="00705AAD" w14:paraId="25B63DF2" w14:textId="77777777" w:rsidTr="007673F3">
              <w:tc>
                <w:tcPr>
                  <w:tcW w:w="2467" w:type="dxa"/>
                  <w:shd w:val="clear" w:color="auto" w:fill="auto"/>
                </w:tcPr>
                <w:p w14:paraId="18CBF3B1" w14:textId="287A759C" w:rsidR="008E0E47" w:rsidRPr="008E0E47" w:rsidRDefault="008E0E47" w:rsidP="00107C97">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Συνολικές ώρες</w:t>
                  </w:r>
                </w:p>
              </w:tc>
              <w:tc>
                <w:tcPr>
                  <w:tcW w:w="2468" w:type="dxa"/>
                </w:tcPr>
                <w:p w14:paraId="635096CE" w14:textId="35E9EEC6" w:rsidR="008E0E47" w:rsidRDefault="008E0E47" w:rsidP="00107C97">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150</w:t>
                  </w:r>
                </w:p>
              </w:tc>
            </w:tr>
          </w:tbl>
          <w:p w14:paraId="71B97611" w14:textId="77777777" w:rsidR="000F4FD4" w:rsidRPr="00705AAD" w:rsidRDefault="000F4FD4" w:rsidP="007673F3">
            <w:pPr>
              <w:rPr>
                <w:rFonts w:ascii="Tahoma" w:hAnsi="Tahoma" w:cs="Tahoma"/>
              </w:rPr>
            </w:pPr>
          </w:p>
        </w:tc>
      </w:tr>
      <w:tr w:rsidR="000F4FD4" w:rsidRPr="005D5BF8" w14:paraId="1A43566F" w14:textId="77777777" w:rsidTr="00F56495">
        <w:trPr>
          <w:trHeight w:val="4408"/>
        </w:trPr>
        <w:tc>
          <w:tcPr>
            <w:tcW w:w="3306" w:type="dxa"/>
          </w:tcPr>
          <w:p w14:paraId="001F53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4CC5FFA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2EE30AA" w14:textId="77777777" w:rsidR="000F4FD4" w:rsidRPr="00705AAD" w:rsidRDefault="000F4FD4" w:rsidP="007673F3">
            <w:pPr>
              <w:jc w:val="both"/>
              <w:rPr>
                <w:rFonts w:ascii="Calibri" w:hAnsi="Calibri" w:cs="Arial"/>
                <w:i/>
                <w:sz w:val="16"/>
                <w:szCs w:val="16"/>
                <w:lang w:val="el-GR"/>
              </w:rPr>
            </w:pPr>
          </w:p>
          <w:p w14:paraId="66CDE76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339871" w14:textId="77777777" w:rsidR="000F4FD4" w:rsidRPr="00705AAD" w:rsidRDefault="000F4FD4" w:rsidP="007673F3">
            <w:pPr>
              <w:jc w:val="both"/>
              <w:rPr>
                <w:rFonts w:ascii="Calibri" w:hAnsi="Calibri" w:cs="Arial"/>
                <w:i/>
                <w:sz w:val="16"/>
                <w:szCs w:val="16"/>
                <w:lang w:val="el-GR"/>
              </w:rPr>
            </w:pPr>
          </w:p>
          <w:p w14:paraId="4A6BCCBD"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Pr>
          <w:p w14:paraId="249A5683" w14:textId="77777777" w:rsidR="000F4FD4" w:rsidRDefault="000F4FD4" w:rsidP="007673F3">
            <w:pPr>
              <w:rPr>
                <w:rFonts w:ascii="Calibri" w:hAnsi="Calibri" w:cs="Arial"/>
                <w:color w:val="002060"/>
                <w:lang w:val="el-GR"/>
              </w:rPr>
            </w:pPr>
          </w:p>
          <w:p w14:paraId="4FF5AFFD" w14:textId="77777777" w:rsidR="000F1A1F" w:rsidRDefault="000F1A1F" w:rsidP="007673F3">
            <w:pPr>
              <w:rPr>
                <w:rFonts w:asciiTheme="minorHAnsi" w:hAnsiTheme="minorHAnsi" w:cstheme="minorHAnsi"/>
                <w:lang w:val="el-GR"/>
              </w:rPr>
            </w:pPr>
          </w:p>
          <w:p w14:paraId="1F6D52EE" w14:textId="77777777" w:rsidR="000F1A1F" w:rsidRPr="00093F24" w:rsidRDefault="000F1A1F" w:rsidP="007673F3">
            <w:pPr>
              <w:rPr>
                <w:rFonts w:asciiTheme="minorHAnsi" w:hAnsiTheme="minorHAnsi" w:cstheme="minorHAnsi"/>
                <w:sz w:val="22"/>
                <w:szCs w:val="22"/>
                <w:lang w:val="el-GR"/>
              </w:rPr>
            </w:pPr>
          </w:p>
          <w:p w14:paraId="40133C05" w14:textId="47565F73" w:rsidR="000F4FD4" w:rsidRPr="00093F24" w:rsidRDefault="000F1A1F" w:rsidP="007673F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xml:space="preserve">1.  Γραπτή </w:t>
            </w:r>
            <w:r w:rsidR="000110B3" w:rsidRPr="00093F24">
              <w:rPr>
                <w:rFonts w:asciiTheme="minorHAnsi" w:hAnsiTheme="minorHAnsi" w:cstheme="minorHAnsi"/>
                <w:iCs/>
                <w:color w:val="002060"/>
                <w:sz w:val="22"/>
                <w:szCs w:val="22"/>
                <w:lang w:val="el-GR"/>
              </w:rPr>
              <w:t xml:space="preserve">τελική </w:t>
            </w:r>
            <w:r w:rsidRPr="00093F24">
              <w:rPr>
                <w:rFonts w:asciiTheme="minorHAnsi" w:hAnsiTheme="minorHAnsi" w:cstheme="minorHAnsi"/>
                <w:iCs/>
                <w:color w:val="002060"/>
                <w:sz w:val="22"/>
                <w:szCs w:val="22"/>
                <w:lang w:val="el-GR"/>
              </w:rPr>
              <w:t>εξέταση (</w:t>
            </w:r>
            <w:r w:rsidR="007E26DC" w:rsidRPr="00093F24">
              <w:rPr>
                <w:rFonts w:asciiTheme="minorHAnsi" w:hAnsiTheme="minorHAnsi" w:cstheme="minorHAnsi"/>
                <w:iCs/>
                <w:color w:val="002060"/>
                <w:sz w:val="22"/>
                <w:szCs w:val="22"/>
                <w:lang w:val="el-GR"/>
              </w:rPr>
              <w:t>10</w:t>
            </w:r>
            <w:r w:rsidRPr="00093F24">
              <w:rPr>
                <w:rFonts w:asciiTheme="minorHAnsi" w:hAnsiTheme="minorHAnsi" w:cstheme="minorHAnsi"/>
                <w:iCs/>
                <w:color w:val="002060"/>
                <w:sz w:val="22"/>
                <w:szCs w:val="22"/>
                <w:lang w:val="el-GR"/>
              </w:rPr>
              <w:t>0%)</w:t>
            </w:r>
          </w:p>
          <w:p w14:paraId="3CF25133" w14:textId="5798A01C" w:rsidR="000F1A1F" w:rsidRPr="00093F24" w:rsidRDefault="000F1A1F" w:rsidP="007673F3">
            <w:pPr>
              <w:rPr>
                <w:rFonts w:asciiTheme="minorHAnsi" w:hAnsiTheme="minorHAnsi" w:cstheme="minorHAnsi"/>
                <w:iCs/>
                <w:color w:val="002060"/>
                <w:sz w:val="22"/>
                <w:szCs w:val="22"/>
                <w:lang w:val="el-GR"/>
              </w:rPr>
            </w:pPr>
          </w:p>
          <w:p w14:paraId="54480B6E" w14:textId="36060653"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2. Μέθοδοι αξιολόγησης:</w:t>
            </w:r>
          </w:p>
          <w:p w14:paraId="6AEB51F3" w14:textId="77777777"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Σύντομης Απάντησης</w:t>
            </w:r>
          </w:p>
          <w:p w14:paraId="15432A24" w14:textId="1FE59BF2"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Επίλυση</w:t>
            </w:r>
            <w:r w:rsidR="009D751A">
              <w:rPr>
                <w:rFonts w:asciiTheme="minorHAnsi" w:hAnsiTheme="minorHAnsi" w:cstheme="minorHAnsi"/>
                <w:iCs/>
                <w:color w:val="002060"/>
                <w:sz w:val="22"/>
                <w:szCs w:val="22"/>
                <w:lang w:val="el-GR"/>
              </w:rPr>
              <w:t>ς</w:t>
            </w:r>
            <w:r w:rsidRPr="00093F24">
              <w:rPr>
                <w:rFonts w:asciiTheme="minorHAnsi" w:hAnsiTheme="minorHAnsi" w:cstheme="minorHAnsi"/>
                <w:iCs/>
                <w:color w:val="002060"/>
                <w:sz w:val="22"/>
                <w:szCs w:val="22"/>
                <w:lang w:val="el-GR"/>
              </w:rPr>
              <w:t xml:space="preserve"> Προβλημάτων</w:t>
            </w:r>
          </w:p>
          <w:p w14:paraId="3721F303" w14:textId="77777777" w:rsidR="000F4FD4" w:rsidRPr="000110B3" w:rsidRDefault="007E26DC" w:rsidP="007673F3">
            <w:pPr>
              <w:rPr>
                <w:rFonts w:asciiTheme="minorHAnsi" w:hAnsiTheme="minorHAnsi" w:cstheme="minorHAnsi"/>
                <w:iCs/>
                <w:color w:val="002060"/>
                <w:sz w:val="20"/>
                <w:szCs w:val="20"/>
                <w:lang w:val="el-GR"/>
              </w:rPr>
            </w:pPr>
            <w:r w:rsidRPr="000110B3">
              <w:rPr>
                <w:rFonts w:asciiTheme="minorHAnsi" w:hAnsiTheme="minorHAnsi" w:cstheme="minorHAnsi"/>
                <w:iCs/>
                <w:color w:val="002060"/>
                <w:sz w:val="20"/>
                <w:szCs w:val="20"/>
                <w:lang w:val="el-GR"/>
              </w:rPr>
              <w:t xml:space="preserve"> </w:t>
            </w:r>
          </w:p>
          <w:p w14:paraId="2C7479A1" w14:textId="77777777" w:rsidR="000F4FD4" w:rsidRPr="00C164BE" w:rsidRDefault="000F4FD4" w:rsidP="007673F3">
            <w:pPr>
              <w:rPr>
                <w:rFonts w:ascii="Calibri" w:hAnsi="Calibri" w:cs="Arial"/>
                <w:color w:val="002060"/>
                <w:lang w:val="el-GR"/>
              </w:rPr>
            </w:pPr>
          </w:p>
          <w:p w14:paraId="0B6AF088" w14:textId="77777777" w:rsidR="000F4FD4" w:rsidRDefault="000F4FD4" w:rsidP="007673F3">
            <w:pPr>
              <w:rPr>
                <w:rFonts w:ascii="Calibri" w:hAnsi="Calibri" w:cs="Arial"/>
                <w:color w:val="002060"/>
                <w:lang w:val="el-GR"/>
              </w:rPr>
            </w:pPr>
          </w:p>
          <w:p w14:paraId="209A391F" w14:textId="77777777" w:rsidR="000F4FD4" w:rsidRDefault="000F4FD4" w:rsidP="007673F3">
            <w:pPr>
              <w:rPr>
                <w:rFonts w:ascii="Calibri" w:hAnsi="Calibri" w:cs="Arial"/>
                <w:color w:val="002060"/>
                <w:lang w:val="el-GR"/>
              </w:rPr>
            </w:pPr>
          </w:p>
          <w:p w14:paraId="578E1814" w14:textId="77777777" w:rsidR="000F4FD4" w:rsidRDefault="000F4FD4" w:rsidP="007673F3">
            <w:pPr>
              <w:rPr>
                <w:rFonts w:ascii="Calibri" w:hAnsi="Calibri" w:cs="Arial"/>
                <w:color w:val="002060"/>
                <w:lang w:val="el-GR"/>
              </w:rPr>
            </w:pPr>
          </w:p>
          <w:p w14:paraId="013E8B7D" w14:textId="77777777" w:rsidR="000F4FD4" w:rsidRDefault="000F4FD4" w:rsidP="007673F3">
            <w:pPr>
              <w:rPr>
                <w:rFonts w:ascii="Calibri" w:hAnsi="Calibri" w:cs="Arial"/>
                <w:color w:val="002060"/>
                <w:lang w:val="el-GR"/>
              </w:rPr>
            </w:pPr>
          </w:p>
          <w:p w14:paraId="5779F42E" w14:textId="77777777" w:rsidR="000F4FD4" w:rsidRDefault="000F4FD4" w:rsidP="007673F3">
            <w:pPr>
              <w:rPr>
                <w:rFonts w:ascii="Calibri" w:hAnsi="Calibri" w:cs="Arial"/>
                <w:color w:val="002060"/>
                <w:lang w:val="el-GR"/>
              </w:rPr>
            </w:pPr>
          </w:p>
          <w:p w14:paraId="7C996445" w14:textId="77777777" w:rsidR="000F4FD4" w:rsidRDefault="000F4FD4" w:rsidP="007673F3">
            <w:pPr>
              <w:rPr>
                <w:rFonts w:ascii="Calibri" w:hAnsi="Calibri" w:cs="Arial"/>
                <w:color w:val="002060"/>
                <w:lang w:val="el-GR"/>
              </w:rPr>
            </w:pPr>
          </w:p>
          <w:p w14:paraId="23A8B563" w14:textId="77777777" w:rsidR="000F4FD4" w:rsidRPr="00705AAD" w:rsidRDefault="000F4FD4" w:rsidP="007673F3">
            <w:pPr>
              <w:rPr>
                <w:rFonts w:ascii="Calibri" w:hAnsi="Calibri" w:cs="Arial"/>
                <w:color w:val="002060"/>
                <w:lang w:val="el-GR"/>
              </w:rPr>
            </w:pPr>
          </w:p>
        </w:tc>
      </w:tr>
    </w:tbl>
    <w:p w14:paraId="7A89EBCD" w14:textId="38B18E16" w:rsidR="00093F24" w:rsidRPr="00093F24" w:rsidRDefault="00093F24" w:rsidP="00093F2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36104799" w14:textId="77777777" w:rsidTr="007673F3">
        <w:tc>
          <w:tcPr>
            <w:tcW w:w="8472" w:type="dxa"/>
          </w:tcPr>
          <w:p w14:paraId="4DF09B1A" w14:textId="77777777" w:rsidR="001A1C52" w:rsidRPr="00D14508" w:rsidRDefault="00A8723B" w:rsidP="00F56495">
            <w:pPr>
              <w:pStyle w:val="ListParagraph"/>
              <w:spacing w:after="60"/>
              <w:ind w:left="0"/>
              <w:jc w:val="both"/>
              <w:rPr>
                <w:rFonts w:cs="Arial"/>
                <w:i/>
              </w:rPr>
            </w:pPr>
            <w:r w:rsidRPr="00D14508">
              <w:rPr>
                <w:rFonts w:cs="Arial"/>
                <w:i/>
              </w:rPr>
              <w:t xml:space="preserve">- </w:t>
            </w:r>
            <w:r w:rsidR="000F4FD4" w:rsidRPr="00D14508">
              <w:rPr>
                <w:rFonts w:cs="Arial"/>
                <w:i/>
              </w:rPr>
              <w:t>Προτεινόμενη Βιβλι</w:t>
            </w:r>
            <w:r w:rsidR="001A1C52" w:rsidRPr="00D14508">
              <w:rPr>
                <w:rFonts w:cs="Arial"/>
                <w:i/>
              </w:rPr>
              <w:t>ογραφία</w:t>
            </w:r>
            <w:r w:rsidR="000F4FD4" w:rsidRPr="00D14508">
              <w:rPr>
                <w:rFonts w:cs="Arial"/>
                <w:i/>
              </w:rPr>
              <w:t>:</w:t>
            </w:r>
          </w:p>
          <w:p w14:paraId="7DD17375" w14:textId="77777777" w:rsidR="00677521" w:rsidRPr="00677521" w:rsidRDefault="00677521" w:rsidP="00677521">
            <w:pPr>
              <w:pStyle w:val="Default"/>
              <w:numPr>
                <w:ilvl w:val="0"/>
                <w:numId w:val="8"/>
              </w:numPr>
              <w:spacing w:before="120" w:after="120"/>
              <w:ind w:left="388"/>
              <w:jc w:val="both"/>
              <w:rPr>
                <w:rFonts w:eastAsia="Times New Roman" w:cs="Arial"/>
                <w:color w:val="002060"/>
                <w:sz w:val="22"/>
                <w:szCs w:val="22"/>
                <w:lang w:val="el-GR"/>
              </w:rPr>
            </w:pPr>
            <w:r w:rsidRPr="000A1C54">
              <w:rPr>
                <w:rFonts w:eastAsia="Times New Roman" w:cs="Arial"/>
                <w:color w:val="002060"/>
                <w:sz w:val="22"/>
                <w:szCs w:val="22"/>
                <w:lang w:val="el-GR"/>
              </w:rPr>
              <w:t xml:space="preserve">Γ. </w:t>
            </w:r>
            <w:proofErr w:type="spellStart"/>
            <w:r w:rsidRPr="000A1C54">
              <w:rPr>
                <w:rFonts w:eastAsia="Times New Roman" w:cs="Arial"/>
                <w:color w:val="002060"/>
                <w:sz w:val="22"/>
                <w:szCs w:val="22"/>
                <w:lang w:val="el-GR"/>
              </w:rPr>
              <w:t>Πιτσέλης</w:t>
            </w:r>
            <w:proofErr w:type="spellEnd"/>
            <w:r w:rsidRPr="000A1C54">
              <w:rPr>
                <w:rFonts w:eastAsia="Times New Roman" w:cs="Arial"/>
                <w:color w:val="002060"/>
                <w:sz w:val="22"/>
                <w:szCs w:val="22"/>
                <w:lang w:val="el-GR"/>
              </w:rPr>
              <w:t xml:space="preserve"> (2018). Κατανομές Μ.Π.Λ.ΟΥ.Ζ (Μακριές, Παχιές, ή Λεπτές Ουρές </w:t>
            </w:r>
            <w:proofErr w:type="spellStart"/>
            <w:r w:rsidRPr="000A1C54">
              <w:rPr>
                <w:rFonts w:eastAsia="Times New Roman" w:cs="Arial"/>
                <w:color w:val="002060"/>
                <w:sz w:val="22"/>
                <w:szCs w:val="22"/>
                <w:lang w:val="el-GR"/>
              </w:rPr>
              <w:t>Ζημιoκατανομών</w:t>
            </w:r>
            <w:proofErr w:type="spellEnd"/>
            <w:r w:rsidRPr="000A1C54">
              <w:rPr>
                <w:rFonts w:eastAsia="Times New Roman" w:cs="Arial"/>
                <w:color w:val="002060"/>
                <w:sz w:val="22"/>
                <w:szCs w:val="22"/>
                <w:lang w:val="el-GR"/>
              </w:rPr>
              <w:t xml:space="preserve">). Εκδόσεις </w:t>
            </w:r>
            <w:proofErr w:type="spellStart"/>
            <w:r w:rsidRPr="000A1C54">
              <w:rPr>
                <w:rFonts w:eastAsia="Times New Roman" w:cs="Arial"/>
                <w:color w:val="002060"/>
                <w:sz w:val="22"/>
                <w:szCs w:val="22"/>
                <w:lang w:val="el-GR"/>
              </w:rPr>
              <w:t>Παπαζήση</w:t>
            </w:r>
            <w:proofErr w:type="spellEnd"/>
            <w:r w:rsidRPr="000A1C54">
              <w:rPr>
                <w:rFonts w:eastAsia="Times New Roman" w:cs="Arial"/>
                <w:color w:val="002060"/>
                <w:sz w:val="22"/>
                <w:szCs w:val="22"/>
                <w:lang w:val="el-GR"/>
              </w:rPr>
              <w:t>.</w:t>
            </w:r>
          </w:p>
          <w:p w14:paraId="420D22D6" w14:textId="4372D59C" w:rsidR="00C97499" w:rsidRDefault="00C97499" w:rsidP="001F4E56">
            <w:pPr>
              <w:pStyle w:val="Default"/>
              <w:numPr>
                <w:ilvl w:val="0"/>
                <w:numId w:val="8"/>
              </w:numPr>
              <w:spacing w:before="60" w:after="60"/>
              <w:ind w:left="388"/>
              <w:jc w:val="both"/>
              <w:rPr>
                <w:rFonts w:eastAsia="Times New Roman" w:cs="Arial"/>
                <w:color w:val="002060"/>
                <w:sz w:val="22"/>
                <w:szCs w:val="22"/>
                <w:lang w:val="el-GR"/>
              </w:rPr>
            </w:pPr>
            <w:r w:rsidRPr="00C97499">
              <w:rPr>
                <w:rFonts w:eastAsia="Times New Roman" w:cs="Arial"/>
                <w:color w:val="002060"/>
                <w:sz w:val="22"/>
                <w:szCs w:val="22"/>
                <w:lang w:val="el-GR"/>
              </w:rPr>
              <w:t xml:space="preserve">Γ. </w:t>
            </w:r>
            <w:proofErr w:type="spellStart"/>
            <w:r w:rsidRPr="00C97499">
              <w:rPr>
                <w:rFonts w:eastAsia="Times New Roman" w:cs="Arial"/>
                <w:color w:val="002060"/>
                <w:sz w:val="22"/>
                <w:szCs w:val="22"/>
                <w:lang w:val="el-GR"/>
              </w:rPr>
              <w:t>Πιτσέλης</w:t>
            </w:r>
            <w:proofErr w:type="spellEnd"/>
            <w:r w:rsidRPr="00C97499">
              <w:rPr>
                <w:rFonts w:eastAsia="Times New Roman" w:cs="Arial"/>
                <w:color w:val="002060"/>
                <w:sz w:val="22"/>
                <w:szCs w:val="22"/>
                <w:lang w:val="el-GR"/>
              </w:rPr>
              <w:t xml:space="preserve"> (2020). Μαθηματικά των Γενικών Ασφαλίσεων, Μέρος Ι. Εκδόσεις </w:t>
            </w:r>
            <w:proofErr w:type="spellStart"/>
            <w:r w:rsidRPr="00C97499">
              <w:rPr>
                <w:rFonts w:eastAsia="Times New Roman" w:cs="Arial"/>
                <w:color w:val="002060"/>
                <w:sz w:val="22"/>
                <w:szCs w:val="22"/>
                <w:lang w:val="el-GR"/>
              </w:rPr>
              <w:t>Παπαζήση</w:t>
            </w:r>
            <w:proofErr w:type="spellEnd"/>
            <w:r w:rsidRPr="00C97499">
              <w:rPr>
                <w:rFonts w:eastAsia="Times New Roman" w:cs="Arial"/>
                <w:color w:val="002060"/>
                <w:sz w:val="22"/>
                <w:szCs w:val="22"/>
                <w:lang w:val="el-GR"/>
              </w:rPr>
              <w:t>.</w:t>
            </w:r>
          </w:p>
          <w:p w14:paraId="0CFE3493" w14:textId="3CEDF67C"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 xml:space="preserve">Institute of Insurance Sciences (2013). An Introduction to Reinsurance. </w:t>
            </w:r>
            <w:proofErr w:type="spellStart"/>
            <w:r w:rsidRPr="00C97499">
              <w:rPr>
                <w:rFonts w:eastAsia="Times New Roman" w:cs="Arial"/>
                <w:color w:val="002060"/>
                <w:sz w:val="22"/>
                <w:szCs w:val="22"/>
              </w:rPr>
              <w:t>Fundacion</w:t>
            </w:r>
            <w:proofErr w:type="spellEnd"/>
            <w:r w:rsidRPr="00C97499">
              <w:rPr>
                <w:rFonts w:eastAsia="Times New Roman" w:cs="Arial"/>
                <w:color w:val="002060"/>
                <w:sz w:val="22"/>
                <w:szCs w:val="22"/>
              </w:rPr>
              <w:t xml:space="preserve"> MAPFRE, Madrid</w:t>
            </w:r>
            <w:r w:rsidR="00D24113">
              <w:rPr>
                <w:rFonts w:eastAsia="Times New Roman" w:cs="Arial"/>
                <w:color w:val="002060"/>
                <w:sz w:val="22"/>
                <w:szCs w:val="22"/>
              </w:rPr>
              <w:t>.</w:t>
            </w:r>
          </w:p>
          <w:p w14:paraId="0F33B429" w14:textId="77777777"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P. Boland (2007). Statistical and Probabilistic Methods in Actuarial Science. Chapman and Hall.</w:t>
            </w:r>
          </w:p>
          <w:p w14:paraId="4D934AAE" w14:textId="4C4E4F5F" w:rsidR="00C97499" w:rsidRPr="00C97499" w:rsidRDefault="00047745"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 xml:space="preserve">C. L. </w:t>
            </w:r>
            <w:r w:rsidR="00C97499" w:rsidRPr="00C97499">
              <w:rPr>
                <w:rFonts w:eastAsia="Times New Roman" w:cs="Arial"/>
                <w:color w:val="002060"/>
                <w:sz w:val="22"/>
                <w:szCs w:val="22"/>
              </w:rPr>
              <w:t>Culp (2004). Risk Transfer: Derivatives in Theory and Practice. John Wiley &amp; Sons.</w:t>
            </w:r>
          </w:p>
          <w:p w14:paraId="26A4E17C" w14:textId="77777777"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 xml:space="preserve">R. Kaas, M. </w:t>
            </w:r>
            <w:proofErr w:type="spellStart"/>
            <w:r w:rsidRPr="00C97499">
              <w:rPr>
                <w:rFonts w:eastAsia="Times New Roman" w:cs="Arial"/>
                <w:color w:val="002060"/>
                <w:sz w:val="22"/>
                <w:szCs w:val="22"/>
              </w:rPr>
              <w:t>Goovaerts</w:t>
            </w:r>
            <w:proofErr w:type="spellEnd"/>
            <w:r w:rsidRPr="00C97499">
              <w:rPr>
                <w:rFonts w:eastAsia="Times New Roman" w:cs="Arial"/>
                <w:color w:val="002060"/>
                <w:sz w:val="22"/>
                <w:szCs w:val="22"/>
              </w:rPr>
              <w:t>, J. Dhaene and M. Denuit (2002). Modern Actuarial Risk Theory. Springer.</w:t>
            </w:r>
          </w:p>
          <w:p w14:paraId="1E6B1795" w14:textId="77777777"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G. Patrick (2001). Reinsurance, Foundations of Casualty Actuarial Society.</w:t>
            </w:r>
          </w:p>
          <w:p w14:paraId="0D747830" w14:textId="77777777"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lang w:val="el-GR"/>
              </w:rPr>
              <w:t xml:space="preserve">Κ. </w:t>
            </w:r>
            <w:proofErr w:type="spellStart"/>
            <w:r w:rsidRPr="00C97499">
              <w:rPr>
                <w:rFonts w:eastAsia="Times New Roman" w:cs="Arial"/>
                <w:color w:val="002060"/>
                <w:sz w:val="22"/>
                <w:szCs w:val="22"/>
                <w:lang w:val="el-GR"/>
              </w:rPr>
              <w:t>Κουτσόπουλος</w:t>
            </w:r>
            <w:proofErr w:type="spellEnd"/>
            <w:r w:rsidRPr="00C97499">
              <w:rPr>
                <w:rFonts w:eastAsia="Times New Roman" w:cs="Arial"/>
                <w:color w:val="002060"/>
                <w:sz w:val="22"/>
                <w:szCs w:val="22"/>
                <w:lang w:val="el-GR"/>
              </w:rPr>
              <w:t xml:space="preserve"> (1993). Αναλογιστικά Μαθηματικά, Μέρος Ι: Θεωρία των Κινδύνων. </w:t>
            </w:r>
            <w:proofErr w:type="spellStart"/>
            <w:r w:rsidRPr="00C97499">
              <w:rPr>
                <w:rFonts w:eastAsia="Times New Roman" w:cs="Arial"/>
                <w:color w:val="002060"/>
                <w:sz w:val="22"/>
                <w:szCs w:val="22"/>
              </w:rPr>
              <w:t>Εκδόσεις</w:t>
            </w:r>
            <w:proofErr w:type="spellEnd"/>
            <w:r w:rsidRPr="00C97499">
              <w:rPr>
                <w:rFonts w:eastAsia="Times New Roman" w:cs="Arial"/>
                <w:color w:val="002060"/>
                <w:sz w:val="22"/>
                <w:szCs w:val="22"/>
              </w:rPr>
              <w:t xml:space="preserve"> </w:t>
            </w:r>
            <w:proofErr w:type="spellStart"/>
            <w:r w:rsidRPr="00C97499">
              <w:rPr>
                <w:rFonts w:eastAsia="Times New Roman" w:cs="Arial"/>
                <w:color w:val="002060"/>
                <w:sz w:val="22"/>
                <w:szCs w:val="22"/>
              </w:rPr>
              <w:t>Συμμετρί</w:t>
            </w:r>
            <w:proofErr w:type="spellEnd"/>
            <w:r w:rsidRPr="00C97499">
              <w:rPr>
                <w:rFonts w:eastAsia="Times New Roman" w:cs="Arial"/>
                <w:color w:val="002060"/>
                <w:sz w:val="22"/>
                <w:szCs w:val="22"/>
              </w:rPr>
              <w:t>α.</w:t>
            </w:r>
          </w:p>
          <w:p w14:paraId="483380BC" w14:textId="77777777" w:rsidR="00C97499" w:rsidRPr="00C97499" w:rsidRDefault="00C97499" w:rsidP="001F4E56">
            <w:pPr>
              <w:pStyle w:val="Default"/>
              <w:numPr>
                <w:ilvl w:val="0"/>
                <w:numId w:val="8"/>
              </w:numPr>
              <w:spacing w:before="60" w:after="60"/>
              <w:ind w:left="388"/>
              <w:jc w:val="both"/>
              <w:rPr>
                <w:rFonts w:eastAsia="Times New Roman" w:cs="Arial"/>
                <w:color w:val="002060"/>
                <w:sz w:val="22"/>
                <w:szCs w:val="22"/>
              </w:rPr>
            </w:pPr>
            <w:r w:rsidRPr="00C97499">
              <w:rPr>
                <w:rFonts w:eastAsia="Times New Roman" w:cs="Arial"/>
                <w:color w:val="002060"/>
                <w:sz w:val="22"/>
                <w:szCs w:val="22"/>
              </w:rPr>
              <w:t xml:space="preserve">H. </w:t>
            </w:r>
            <w:proofErr w:type="spellStart"/>
            <w:r w:rsidRPr="00C97499">
              <w:rPr>
                <w:rFonts w:eastAsia="Times New Roman" w:cs="Arial"/>
                <w:color w:val="002060"/>
                <w:sz w:val="22"/>
                <w:szCs w:val="22"/>
              </w:rPr>
              <w:t>Panjer</w:t>
            </w:r>
            <w:proofErr w:type="spellEnd"/>
            <w:r w:rsidRPr="00C97499">
              <w:rPr>
                <w:rFonts w:eastAsia="Times New Roman" w:cs="Arial"/>
                <w:color w:val="002060"/>
                <w:sz w:val="22"/>
                <w:szCs w:val="22"/>
              </w:rPr>
              <w:t xml:space="preserve">, G. E. </w:t>
            </w:r>
            <w:proofErr w:type="spellStart"/>
            <w:r w:rsidRPr="00C97499">
              <w:rPr>
                <w:rFonts w:eastAsia="Times New Roman" w:cs="Arial"/>
                <w:color w:val="002060"/>
                <w:sz w:val="22"/>
                <w:szCs w:val="22"/>
              </w:rPr>
              <w:t>Willmot</w:t>
            </w:r>
            <w:proofErr w:type="spellEnd"/>
            <w:r w:rsidRPr="00C97499">
              <w:rPr>
                <w:rFonts w:eastAsia="Times New Roman" w:cs="Arial"/>
                <w:color w:val="002060"/>
                <w:sz w:val="22"/>
                <w:szCs w:val="22"/>
              </w:rPr>
              <w:t xml:space="preserve"> (1992). Insurance Risk Models. Society of Actuaries.</w:t>
            </w:r>
          </w:p>
          <w:p w14:paraId="7ADE8815" w14:textId="77777777" w:rsidR="00C97499" w:rsidRPr="00C97499" w:rsidRDefault="00C97499" w:rsidP="001F4E56">
            <w:pPr>
              <w:pStyle w:val="Default"/>
              <w:numPr>
                <w:ilvl w:val="0"/>
                <w:numId w:val="8"/>
              </w:numPr>
              <w:spacing w:before="60" w:after="120"/>
              <w:ind w:left="388"/>
              <w:jc w:val="both"/>
              <w:rPr>
                <w:rFonts w:eastAsia="Times New Roman" w:cs="Arial"/>
                <w:color w:val="002060"/>
                <w:sz w:val="22"/>
                <w:szCs w:val="22"/>
              </w:rPr>
            </w:pPr>
            <w:r w:rsidRPr="00C97499">
              <w:rPr>
                <w:rFonts w:eastAsia="Times New Roman" w:cs="Arial"/>
                <w:color w:val="002060"/>
                <w:sz w:val="22"/>
                <w:szCs w:val="22"/>
              </w:rPr>
              <w:t>Swiss Re. Annual Reports on Natural Catastrophes and Reinsurance.</w:t>
            </w:r>
          </w:p>
          <w:p w14:paraId="69D9C99B" w14:textId="77777777" w:rsidR="000F4FD4" w:rsidRPr="00D14508" w:rsidRDefault="00A8723B" w:rsidP="00C97499">
            <w:pPr>
              <w:spacing w:after="120"/>
              <w:jc w:val="both"/>
              <w:rPr>
                <w:rFonts w:ascii="Calibri" w:hAnsi="Calibri" w:cs="Arial"/>
                <w:i/>
                <w:lang w:val="el-GR"/>
              </w:rPr>
            </w:pPr>
            <w:r w:rsidRPr="00D14508">
              <w:rPr>
                <w:rFonts w:ascii="Calibri" w:hAnsi="Calibri" w:cs="Arial"/>
                <w:i/>
                <w:sz w:val="22"/>
                <w:szCs w:val="22"/>
                <w:lang w:val="el-GR"/>
              </w:rPr>
              <w:t xml:space="preserve">- </w:t>
            </w:r>
            <w:r w:rsidR="000F4FD4" w:rsidRPr="00D14508">
              <w:rPr>
                <w:rFonts w:ascii="Calibri" w:hAnsi="Calibri" w:cs="Arial"/>
                <w:i/>
                <w:sz w:val="22"/>
                <w:szCs w:val="22"/>
                <w:lang w:val="el-GR"/>
              </w:rPr>
              <w:t>Συναφή επιστημονικά περιοδικά:</w:t>
            </w:r>
          </w:p>
          <w:p w14:paraId="75CE5F97" w14:textId="77777777" w:rsidR="00C97499"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Insurance Mathematics &amp; Economics</w:t>
            </w:r>
          </w:p>
          <w:p w14:paraId="09361DEB" w14:textId="77777777" w:rsidR="00C97499"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Astin Bulletin</w:t>
            </w:r>
          </w:p>
          <w:p w14:paraId="7C266FCC" w14:textId="77777777" w:rsidR="00C97499"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Scandinavian Actuarial Journal</w:t>
            </w:r>
          </w:p>
          <w:p w14:paraId="699BE47C" w14:textId="77777777" w:rsidR="00C97499"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European Actuarial Journal</w:t>
            </w:r>
          </w:p>
          <w:p w14:paraId="1C996129" w14:textId="77777777" w:rsidR="00C97499"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Annals of Actuarial Science</w:t>
            </w:r>
          </w:p>
          <w:p w14:paraId="5EFD4A17" w14:textId="508A7595" w:rsidR="000F4FD4" w:rsidRPr="001F4E56" w:rsidRDefault="00C97499" w:rsidP="001F4E56">
            <w:pPr>
              <w:pStyle w:val="ListParagraph"/>
              <w:numPr>
                <w:ilvl w:val="0"/>
                <w:numId w:val="12"/>
              </w:numPr>
              <w:ind w:left="388"/>
              <w:jc w:val="both"/>
              <w:rPr>
                <w:rFonts w:cs="Arial"/>
                <w:color w:val="002060"/>
                <w:lang w:val="en-GB"/>
              </w:rPr>
            </w:pPr>
            <w:r w:rsidRPr="001F4E56">
              <w:rPr>
                <w:rFonts w:cs="Arial"/>
                <w:color w:val="002060"/>
                <w:lang w:val="en-GB"/>
              </w:rPr>
              <w:t>Risks</w:t>
            </w:r>
          </w:p>
        </w:tc>
      </w:tr>
      <w:bookmarkEnd w:id="0"/>
    </w:tbl>
    <w:p w14:paraId="299779FF" w14:textId="1C892E5C" w:rsidR="000F4FD4" w:rsidRPr="009D2389" w:rsidRDefault="000F4FD4" w:rsidP="00847298">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A011" w14:textId="77777777" w:rsidR="00B64978" w:rsidRDefault="00B64978">
      <w:r>
        <w:separator/>
      </w:r>
    </w:p>
  </w:endnote>
  <w:endnote w:type="continuationSeparator" w:id="0">
    <w:p w14:paraId="1B8FA1EC" w14:textId="77777777" w:rsidR="00B64978" w:rsidRDefault="00B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74CE" w14:textId="77777777" w:rsidR="00B64978" w:rsidRDefault="00B64978">
      <w:r>
        <w:separator/>
      </w:r>
    </w:p>
  </w:footnote>
  <w:footnote w:type="continuationSeparator" w:id="0">
    <w:p w14:paraId="58BA366B" w14:textId="77777777" w:rsidR="00B64978" w:rsidRDefault="00B6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A77"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7D99527"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E94"/>
    <w:multiLevelType w:val="hybridMultilevel"/>
    <w:tmpl w:val="4F0AB75A"/>
    <w:lvl w:ilvl="0" w:tplc="04080001">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BC7460"/>
    <w:multiLevelType w:val="hybridMultilevel"/>
    <w:tmpl w:val="CABC0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267A9"/>
    <w:multiLevelType w:val="hybridMultilevel"/>
    <w:tmpl w:val="FFB8025A"/>
    <w:lvl w:ilvl="0" w:tplc="0408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2A942954"/>
    <w:multiLevelType w:val="hybridMultilevel"/>
    <w:tmpl w:val="BA2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75A5D"/>
    <w:multiLevelType w:val="hybridMultilevel"/>
    <w:tmpl w:val="C822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346CA"/>
    <w:multiLevelType w:val="hybridMultilevel"/>
    <w:tmpl w:val="DB48F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084EEB"/>
    <w:multiLevelType w:val="hybridMultilevel"/>
    <w:tmpl w:val="97C87566"/>
    <w:lvl w:ilvl="0" w:tplc="6C7409E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85194317">
    <w:abstractNumId w:val="2"/>
  </w:num>
  <w:num w:numId="2" w16cid:durableId="26377991">
    <w:abstractNumId w:val="10"/>
  </w:num>
  <w:num w:numId="3" w16cid:durableId="1851599882">
    <w:abstractNumId w:val="9"/>
  </w:num>
  <w:num w:numId="4" w16cid:durableId="449978712">
    <w:abstractNumId w:val="7"/>
  </w:num>
  <w:num w:numId="5" w16cid:durableId="1622611772">
    <w:abstractNumId w:val="1"/>
  </w:num>
  <w:num w:numId="6" w16cid:durableId="1211503798">
    <w:abstractNumId w:val="11"/>
  </w:num>
  <w:num w:numId="7" w16cid:durableId="838892000">
    <w:abstractNumId w:val="3"/>
  </w:num>
  <w:num w:numId="8" w16cid:durableId="168832044">
    <w:abstractNumId w:val="5"/>
  </w:num>
  <w:num w:numId="9" w16cid:durableId="285550042">
    <w:abstractNumId w:val="6"/>
  </w:num>
  <w:num w:numId="10" w16cid:durableId="877014122">
    <w:abstractNumId w:val="8"/>
  </w:num>
  <w:num w:numId="11" w16cid:durableId="682784851">
    <w:abstractNumId w:val="0"/>
  </w:num>
  <w:num w:numId="12" w16cid:durableId="81850278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0B3"/>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5B53"/>
    <w:rsid w:val="00037685"/>
    <w:rsid w:val="00040596"/>
    <w:rsid w:val="000410DA"/>
    <w:rsid w:val="00041C10"/>
    <w:rsid w:val="000443E5"/>
    <w:rsid w:val="0004774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F24"/>
    <w:rsid w:val="000957CA"/>
    <w:rsid w:val="000964E8"/>
    <w:rsid w:val="000A3476"/>
    <w:rsid w:val="000A4DDE"/>
    <w:rsid w:val="000A55BA"/>
    <w:rsid w:val="000A566B"/>
    <w:rsid w:val="000B07DB"/>
    <w:rsid w:val="000B0B08"/>
    <w:rsid w:val="000B3774"/>
    <w:rsid w:val="000B5D9F"/>
    <w:rsid w:val="000B7F47"/>
    <w:rsid w:val="000C3A17"/>
    <w:rsid w:val="000C4334"/>
    <w:rsid w:val="000C4E47"/>
    <w:rsid w:val="000D135A"/>
    <w:rsid w:val="000D1CF6"/>
    <w:rsid w:val="000D3ACC"/>
    <w:rsid w:val="000D3D80"/>
    <w:rsid w:val="000D4B88"/>
    <w:rsid w:val="000D543B"/>
    <w:rsid w:val="000D5EC2"/>
    <w:rsid w:val="000D6BAA"/>
    <w:rsid w:val="000E0695"/>
    <w:rsid w:val="000E06F0"/>
    <w:rsid w:val="000E0F94"/>
    <w:rsid w:val="000E1343"/>
    <w:rsid w:val="000E1AA6"/>
    <w:rsid w:val="000E3FF4"/>
    <w:rsid w:val="000E42EA"/>
    <w:rsid w:val="000E6CD4"/>
    <w:rsid w:val="000F1A1F"/>
    <w:rsid w:val="000F4FD4"/>
    <w:rsid w:val="000F55A3"/>
    <w:rsid w:val="000F573F"/>
    <w:rsid w:val="000F5803"/>
    <w:rsid w:val="001000AC"/>
    <w:rsid w:val="00101E11"/>
    <w:rsid w:val="001026B2"/>
    <w:rsid w:val="00102A4A"/>
    <w:rsid w:val="00102FF4"/>
    <w:rsid w:val="001049B1"/>
    <w:rsid w:val="00104D8C"/>
    <w:rsid w:val="00105309"/>
    <w:rsid w:val="00107C97"/>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372D5"/>
    <w:rsid w:val="00137A84"/>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370"/>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5D3A"/>
    <w:rsid w:val="001C6883"/>
    <w:rsid w:val="001D06B9"/>
    <w:rsid w:val="001D11D9"/>
    <w:rsid w:val="001D2D33"/>
    <w:rsid w:val="001D2E43"/>
    <w:rsid w:val="001D3609"/>
    <w:rsid w:val="001E1112"/>
    <w:rsid w:val="001E191C"/>
    <w:rsid w:val="001E4BDF"/>
    <w:rsid w:val="001E5764"/>
    <w:rsid w:val="001E5D0E"/>
    <w:rsid w:val="001E7543"/>
    <w:rsid w:val="001F07EB"/>
    <w:rsid w:val="001F0FB8"/>
    <w:rsid w:val="001F11AC"/>
    <w:rsid w:val="001F18F3"/>
    <w:rsid w:val="001F1DC6"/>
    <w:rsid w:val="001F30A4"/>
    <w:rsid w:val="001F3DA3"/>
    <w:rsid w:val="001F3F58"/>
    <w:rsid w:val="001F4E56"/>
    <w:rsid w:val="001F4EE0"/>
    <w:rsid w:val="00205B36"/>
    <w:rsid w:val="00206664"/>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353F"/>
    <w:rsid w:val="00236495"/>
    <w:rsid w:val="00236E9B"/>
    <w:rsid w:val="00240545"/>
    <w:rsid w:val="00241B32"/>
    <w:rsid w:val="00241C5D"/>
    <w:rsid w:val="00242E3F"/>
    <w:rsid w:val="00243AB2"/>
    <w:rsid w:val="00243AB4"/>
    <w:rsid w:val="002457AA"/>
    <w:rsid w:val="00245FA4"/>
    <w:rsid w:val="00246AE0"/>
    <w:rsid w:val="0024715B"/>
    <w:rsid w:val="0024793D"/>
    <w:rsid w:val="00247A19"/>
    <w:rsid w:val="00250A2F"/>
    <w:rsid w:val="00255063"/>
    <w:rsid w:val="0025547E"/>
    <w:rsid w:val="0026051D"/>
    <w:rsid w:val="00260B12"/>
    <w:rsid w:val="00261622"/>
    <w:rsid w:val="00265F0D"/>
    <w:rsid w:val="00266F9A"/>
    <w:rsid w:val="002706A7"/>
    <w:rsid w:val="00271BEE"/>
    <w:rsid w:val="00271F7D"/>
    <w:rsid w:val="00272884"/>
    <w:rsid w:val="0027626F"/>
    <w:rsid w:val="00277781"/>
    <w:rsid w:val="00280486"/>
    <w:rsid w:val="00280BFE"/>
    <w:rsid w:val="0028166F"/>
    <w:rsid w:val="0028211C"/>
    <w:rsid w:val="00282FAB"/>
    <w:rsid w:val="00285D8B"/>
    <w:rsid w:val="00286A85"/>
    <w:rsid w:val="002874EB"/>
    <w:rsid w:val="0029057A"/>
    <w:rsid w:val="00296F0C"/>
    <w:rsid w:val="002A03B0"/>
    <w:rsid w:val="002A211F"/>
    <w:rsid w:val="002A44CF"/>
    <w:rsid w:val="002A5B2A"/>
    <w:rsid w:val="002A66C2"/>
    <w:rsid w:val="002B050C"/>
    <w:rsid w:val="002B10F6"/>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626"/>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79FB"/>
    <w:rsid w:val="003E11E0"/>
    <w:rsid w:val="003E46EF"/>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41C"/>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67308"/>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91"/>
    <w:rsid w:val="005231D3"/>
    <w:rsid w:val="005233C3"/>
    <w:rsid w:val="00523D13"/>
    <w:rsid w:val="00523E2C"/>
    <w:rsid w:val="00526739"/>
    <w:rsid w:val="00526E51"/>
    <w:rsid w:val="005314D4"/>
    <w:rsid w:val="00532B1C"/>
    <w:rsid w:val="00534C2C"/>
    <w:rsid w:val="00536B09"/>
    <w:rsid w:val="00536C56"/>
    <w:rsid w:val="005400E6"/>
    <w:rsid w:val="00540C82"/>
    <w:rsid w:val="005410F5"/>
    <w:rsid w:val="00543BC9"/>
    <w:rsid w:val="00545CCC"/>
    <w:rsid w:val="00546047"/>
    <w:rsid w:val="005464A0"/>
    <w:rsid w:val="00552661"/>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2F77"/>
    <w:rsid w:val="00583A39"/>
    <w:rsid w:val="005841A6"/>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BF8"/>
    <w:rsid w:val="005D64AF"/>
    <w:rsid w:val="005E096A"/>
    <w:rsid w:val="005E3207"/>
    <w:rsid w:val="005E3C04"/>
    <w:rsid w:val="005E3E18"/>
    <w:rsid w:val="005E4CDD"/>
    <w:rsid w:val="005F12F6"/>
    <w:rsid w:val="005F1D7B"/>
    <w:rsid w:val="005F1D94"/>
    <w:rsid w:val="0060443B"/>
    <w:rsid w:val="00606296"/>
    <w:rsid w:val="00606935"/>
    <w:rsid w:val="00607285"/>
    <w:rsid w:val="00607F29"/>
    <w:rsid w:val="006122F8"/>
    <w:rsid w:val="0061373A"/>
    <w:rsid w:val="00616ACF"/>
    <w:rsid w:val="00616EF9"/>
    <w:rsid w:val="00617CBD"/>
    <w:rsid w:val="00623220"/>
    <w:rsid w:val="0062344E"/>
    <w:rsid w:val="00630A21"/>
    <w:rsid w:val="006324B4"/>
    <w:rsid w:val="00632727"/>
    <w:rsid w:val="006335B2"/>
    <w:rsid w:val="006348E5"/>
    <w:rsid w:val="0063491B"/>
    <w:rsid w:val="00640627"/>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521"/>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0EE"/>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4EB6"/>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2F"/>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6DC"/>
    <w:rsid w:val="007E277A"/>
    <w:rsid w:val="007E29E5"/>
    <w:rsid w:val="007E3B64"/>
    <w:rsid w:val="007E6482"/>
    <w:rsid w:val="007F00E3"/>
    <w:rsid w:val="007F0638"/>
    <w:rsid w:val="007F1C55"/>
    <w:rsid w:val="007F217F"/>
    <w:rsid w:val="007F5893"/>
    <w:rsid w:val="007F58AA"/>
    <w:rsid w:val="007F6F22"/>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0E47"/>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353D"/>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38E"/>
    <w:rsid w:val="00971DBD"/>
    <w:rsid w:val="009722E9"/>
    <w:rsid w:val="009754DE"/>
    <w:rsid w:val="009800BC"/>
    <w:rsid w:val="0098023E"/>
    <w:rsid w:val="009830A7"/>
    <w:rsid w:val="00983485"/>
    <w:rsid w:val="0098354E"/>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D751A"/>
    <w:rsid w:val="009E0A75"/>
    <w:rsid w:val="009E5962"/>
    <w:rsid w:val="009E5E5D"/>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4D11"/>
    <w:rsid w:val="00B4658E"/>
    <w:rsid w:val="00B468E0"/>
    <w:rsid w:val="00B47190"/>
    <w:rsid w:val="00B52893"/>
    <w:rsid w:val="00B52AAC"/>
    <w:rsid w:val="00B54474"/>
    <w:rsid w:val="00B54C74"/>
    <w:rsid w:val="00B56AD2"/>
    <w:rsid w:val="00B56BD6"/>
    <w:rsid w:val="00B5772C"/>
    <w:rsid w:val="00B619BD"/>
    <w:rsid w:val="00B62809"/>
    <w:rsid w:val="00B63172"/>
    <w:rsid w:val="00B64978"/>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C18"/>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5D76"/>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3ABE"/>
    <w:rsid w:val="00C05A91"/>
    <w:rsid w:val="00C06339"/>
    <w:rsid w:val="00C070A2"/>
    <w:rsid w:val="00C07549"/>
    <w:rsid w:val="00C11D25"/>
    <w:rsid w:val="00C12F8F"/>
    <w:rsid w:val="00C164BE"/>
    <w:rsid w:val="00C165FA"/>
    <w:rsid w:val="00C17061"/>
    <w:rsid w:val="00C2048B"/>
    <w:rsid w:val="00C20B27"/>
    <w:rsid w:val="00C210BA"/>
    <w:rsid w:val="00C2219F"/>
    <w:rsid w:val="00C22FD4"/>
    <w:rsid w:val="00C23CA0"/>
    <w:rsid w:val="00C25232"/>
    <w:rsid w:val="00C2737F"/>
    <w:rsid w:val="00C30CC5"/>
    <w:rsid w:val="00C30D43"/>
    <w:rsid w:val="00C32006"/>
    <w:rsid w:val="00C33A80"/>
    <w:rsid w:val="00C33D83"/>
    <w:rsid w:val="00C363EF"/>
    <w:rsid w:val="00C442C8"/>
    <w:rsid w:val="00C4452B"/>
    <w:rsid w:val="00C44C70"/>
    <w:rsid w:val="00C462AF"/>
    <w:rsid w:val="00C47DC1"/>
    <w:rsid w:val="00C52993"/>
    <w:rsid w:val="00C56E49"/>
    <w:rsid w:val="00C5775F"/>
    <w:rsid w:val="00C57BFA"/>
    <w:rsid w:val="00C6044D"/>
    <w:rsid w:val="00C60BDE"/>
    <w:rsid w:val="00C61735"/>
    <w:rsid w:val="00C61B6E"/>
    <w:rsid w:val="00C62055"/>
    <w:rsid w:val="00C62151"/>
    <w:rsid w:val="00C63B11"/>
    <w:rsid w:val="00C63ECF"/>
    <w:rsid w:val="00C6408E"/>
    <w:rsid w:val="00C64DB8"/>
    <w:rsid w:val="00C70931"/>
    <w:rsid w:val="00C723F3"/>
    <w:rsid w:val="00C73096"/>
    <w:rsid w:val="00C73B78"/>
    <w:rsid w:val="00C75BA4"/>
    <w:rsid w:val="00C760A3"/>
    <w:rsid w:val="00C7650E"/>
    <w:rsid w:val="00C808E0"/>
    <w:rsid w:val="00C80950"/>
    <w:rsid w:val="00C80EAC"/>
    <w:rsid w:val="00C81911"/>
    <w:rsid w:val="00C84FA4"/>
    <w:rsid w:val="00C90E6B"/>
    <w:rsid w:val="00C91220"/>
    <w:rsid w:val="00C9175B"/>
    <w:rsid w:val="00C925AF"/>
    <w:rsid w:val="00C92672"/>
    <w:rsid w:val="00C9525D"/>
    <w:rsid w:val="00C9543D"/>
    <w:rsid w:val="00C95FAC"/>
    <w:rsid w:val="00C97499"/>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A4"/>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113"/>
    <w:rsid w:val="00D24BA6"/>
    <w:rsid w:val="00D24DCB"/>
    <w:rsid w:val="00D24E95"/>
    <w:rsid w:val="00D2646C"/>
    <w:rsid w:val="00D26C74"/>
    <w:rsid w:val="00D26D45"/>
    <w:rsid w:val="00D312DE"/>
    <w:rsid w:val="00D3216D"/>
    <w:rsid w:val="00D366D7"/>
    <w:rsid w:val="00D37304"/>
    <w:rsid w:val="00D40DB8"/>
    <w:rsid w:val="00D40E0B"/>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06B"/>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48FF"/>
    <w:rsid w:val="00DC6083"/>
    <w:rsid w:val="00DC62E9"/>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56F9E"/>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1D7C"/>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3D6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353"/>
    <w:rsid w:val="00F4623E"/>
    <w:rsid w:val="00F47D2A"/>
    <w:rsid w:val="00F51881"/>
    <w:rsid w:val="00F52DC0"/>
    <w:rsid w:val="00F5357B"/>
    <w:rsid w:val="00F53732"/>
    <w:rsid w:val="00F563E5"/>
    <w:rsid w:val="00F5649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 w:val="00FF7A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66348"/>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1"/>
    <w:qFormat/>
    <w:rsid w:val="0042341E"/>
    <w:pPr>
      <w:jc w:val="both"/>
    </w:pPr>
  </w:style>
  <w:style w:type="character" w:customStyle="1" w:styleId="BodyTextChar">
    <w:name w:val="Body Text Char"/>
    <w:basedOn w:val="DefaultParagraphFont"/>
    <w:link w:val="BodyText"/>
    <w:uiPriority w:val="1"/>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0110B3"/>
    <w:pPr>
      <w:autoSpaceDE w:val="0"/>
      <w:autoSpaceDN w:val="0"/>
      <w:adjustRightInd w:val="0"/>
    </w:pPr>
    <w:rPr>
      <w:rFonts w:ascii="Calibri" w:eastAsiaTheme="minorHAnsi" w:hAnsi="Calibri" w:cs="Calibri"/>
      <w:color w:val="000000"/>
      <w:sz w:val="24"/>
      <w:szCs w:val="24"/>
      <w:lang w:val="en-GB"/>
    </w:rPr>
  </w:style>
  <w:style w:type="character" w:styleId="UnresolvedMention">
    <w:name w:val="Unresolved Mention"/>
    <w:basedOn w:val="DefaultParagraphFont"/>
    <w:uiPriority w:val="99"/>
    <w:semiHidden/>
    <w:unhideWhenUsed/>
    <w:rsid w:val="0023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629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1062</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APOSTOLOS BOZIKAS</cp:lastModifiedBy>
  <cp:revision>33</cp:revision>
  <cp:lastPrinted>2014-04-24T14:33:00Z</cp:lastPrinted>
  <dcterms:created xsi:type="dcterms:W3CDTF">2019-09-16T22:31:00Z</dcterms:created>
  <dcterms:modified xsi:type="dcterms:W3CDTF">2023-03-21T10:57:00Z</dcterms:modified>
</cp:coreProperties>
</file>