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37B7F"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5835BDDB"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14:paraId="32A6DDB9" w14:textId="77777777" w:rsidTr="007673F3">
        <w:tc>
          <w:tcPr>
            <w:tcW w:w="3205" w:type="dxa"/>
            <w:shd w:val="clear" w:color="auto" w:fill="DDD9C3" w:themeFill="background2" w:themeFillShade="E6"/>
          </w:tcPr>
          <w:p w14:paraId="20C16B2E"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3739776A" w14:textId="77777777" w:rsidR="000F4FD4" w:rsidRPr="00C267DD" w:rsidRDefault="00B31A2D" w:rsidP="007673F3">
            <w:pPr>
              <w:rPr>
                <w:rFonts w:ascii="Calibri" w:hAnsi="Calibri" w:cs="Arial"/>
                <w:color w:val="002060"/>
                <w:sz w:val="22"/>
                <w:szCs w:val="22"/>
                <w:lang w:val="el-GR"/>
              </w:rPr>
            </w:pPr>
            <w:r w:rsidRPr="00C267DD">
              <w:rPr>
                <w:rFonts w:ascii="Calibri" w:hAnsi="Calibri" w:cs="Arial"/>
                <w:color w:val="002060"/>
                <w:sz w:val="22"/>
                <w:szCs w:val="22"/>
                <w:lang w:val="el-GR"/>
              </w:rPr>
              <w:t>ΧΡΗΜΑΤΟΟΙΚΟΝΟΜΙΚΗΣ ΚΑΙ ΣΤΑΤΙΣΤΙΚΗΣ</w:t>
            </w:r>
          </w:p>
        </w:tc>
      </w:tr>
      <w:tr w:rsidR="000F4FD4" w:rsidRPr="00705AAD" w14:paraId="671572FE" w14:textId="77777777" w:rsidTr="007673F3">
        <w:tc>
          <w:tcPr>
            <w:tcW w:w="3205" w:type="dxa"/>
            <w:shd w:val="clear" w:color="auto" w:fill="DDD9C3" w:themeFill="background2" w:themeFillShade="E6"/>
          </w:tcPr>
          <w:p w14:paraId="4694CF3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55DF0025" w14:textId="77777777" w:rsidR="000F4FD4" w:rsidRPr="00C267DD" w:rsidRDefault="00B31A2D" w:rsidP="007673F3">
            <w:pPr>
              <w:rPr>
                <w:rFonts w:ascii="Calibri" w:hAnsi="Calibri" w:cs="Arial"/>
                <w:color w:val="002060"/>
                <w:sz w:val="22"/>
                <w:szCs w:val="22"/>
                <w:lang w:val="el-GR"/>
              </w:rPr>
            </w:pPr>
            <w:r w:rsidRPr="00C267DD">
              <w:rPr>
                <w:rFonts w:ascii="Calibri" w:hAnsi="Calibri" w:cs="Arial"/>
                <w:color w:val="002060"/>
                <w:sz w:val="22"/>
                <w:szCs w:val="22"/>
                <w:lang w:val="el-GR"/>
              </w:rPr>
              <w:t>ΣΤΑΤΙΣΤΙΚΗΣ ΚΑΙ ΑΣΦΑΛΙΣΤΙΚΗΣ ΕΠΙΣΤΗΜΗΣ</w:t>
            </w:r>
          </w:p>
        </w:tc>
      </w:tr>
      <w:tr w:rsidR="000F4FD4" w:rsidRPr="00705AAD" w14:paraId="469DCB1D" w14:textId="77777777" w:rsidTr="007673F3">
        <w:tc>
          <w:tcPr>
            <w:tcW w:w="3205" w:type="dxa"/>
            <w:shd w:val="clear" w:color="auto" w:fill="DDD9C3" w:themeFill="background2" w:themeFillShade="E6"/>
          </w:tcPr>
          <w:p w14:paraId="3CE95529"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5E74EC65" w14:textId="77777777" w:rsidR="000F4FD4" w:rsidRPr="00C267DD" w:rsidRDefault="00B31A2D" w:rsidP="007673F3">
            <w:pPr>
              <w:rPr>
                <w:rFonts w:ascii="Calibri" w:hAnsi="Calibri" w:cs="Arial"/>
                <w:color w:val="002060"/>
                <w:sz w:val="22"/>
                <w:szCs w:val="22"/>
                <w:lang w:val="el-GR"/>
              </w:rPr>
            </w:pPr>
            <w:r w:rsidRPr="00C267DD">
              <w:rPr>
                <w:rFonts w:ascii="Calibri" w:hAnsi="Calibri" w:cs="Arial"/>
                <w:color w:val="002060"/>
                <w:sz w:val="22"/>
                <w:szCs w:val="22"/>
                <w:lang w:val="el-GR"/>
              </w:rPr>
              <w:t>Προπτυχιακό</w:t>
            </w:r>
            <w:r w:rsidR="00C81BE4">
              <w:rPr>
                <w:rFonts w:ascii="Calibri" w:hAnsi="Calibri" w:cs="Arial"/>
                <w:color w:val="002060"/>
                <w:sz w:val="22"/>
                <w:szCs w:val="22"/>
                <w:lang w:val="el-GR"/>
              </w:rPr>
              <w:t xml:space="preserve"> (Πρώτος κύκλος σπουδών)</w:t>
            </w:r>
          </w:p>
        </w:tc>
      </w:tr>
      <w:tr w:rsidR="000F4FD4" w:rsidRPr="00705AAD" w14:paraId="28647BB6" w14:textId="77777777" w:rsidTr="007673F3">
        <w:tc>
          <w:tcPr>
            <w:tcW w:w="3205" w:type="dxa"/>
            <w:shd w:val="clear" w:color="auto" w:fill="DDD9C3" w:themeFill="background2" w:themeFillShade="E6"/>
          </w:tcPr>
          <w:p w14:paraId="2E85EB02"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62956C8A" w14:textId="17A228FF" w:rsidR="000F4FD4" w:rsidRPr="00242EE0" w:rsidRDefault="00FF63E6" w:rsidP="00155CBC">
            <w:pPr>
              <w:rPr>
                <w:rFonts w:ascii="Calibri" w:hAnsi="Calibri" w:cs="Arial"/>
                <w:b/>
                <w:sz w:val="20"/>
                <w:szCs w:val="20"/>
                <w:lang w:val="el-GR"/>
              </w:rPr>
            </w:pPr>
            <w:r w:rsidRPr="00242EE0">
              <w:rPr>
                <w:rFonts w:ascii="Calibri" w:hAnsi="Calibri" w:cs="Arial"/>
                <w:b/>
                <w:color w:val="002060"/>
                <w:sz w:val="20"/>
                <w:szCs w:val="22"/>
                <w:lang w:val="el-GR"/>
              </w:rPr>
              <w:t>ΣΑ</w:t>
            </w:r>
            <w:r w:rsidR="00155CBC" w:rsidRPr="00242EE0">
              <w:rPr>
                <w:rFonts w:ascii="Calibri" w:hAnsi="Calibri" w:cs="Arial"/>
                <w:b/>
                <w:color w:val="002060"/>
                <w:sz w:val="20"/>
                <w:szCs w:val="22"/>
                <w:lang w:val="el-GR"/>
              </w:rPr>
              <w:t>ΑΣΦ03-17</w:t>
            </w:r>
          </w:p>
        </w:tc>
        <w:tc>
          <w:tcPr>
            <w:tcW w:w="2505" w:type="dxa"/>
            <w:gridSpan w:val="2"/>
            <w:shd w:val="clear" w:color="auto" w:fill="DDD9C3" w:themeFill="background2" w:themeFillShade="E6"/>
          </w:tcPr>
          <w:p w14:paraId="1971C88C"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3D27513E" w14:textId="3EB76008" w:rsidR="000F4FD4" w:rsidRPr="00C267DD" w:rsidRDefault="00155CBC" w:rsidP="007673F3">
            <w:pPr>
              <w:rPr>
                <w:rFonts w:ascii="Calibri" w:hAnsi="Calibri" w:cs="Arial"/>
                <w:b/>
                <w:sz w:val="22"/>
                <w:szCs w:val="22"/>
                <w:lang w:val="el-GR"/>
              </w:rPr>
            </w:pPr>
            <w:r>
              <w:rPr>
                <w:rFonts w:ascii="Calibri" w:hAnsi="Calibri" w:cs="Arial"/>
                <w:b/>
                <w:color w:val="002060"/>
                <w:sz w:val="22"/>
                <w:szCs w:val="22"/>
                <w:lang w:val="el-GR"/>
              </w:rPr>
              <w:t>4</w:t>
            </w:r>
            <w:r w:rsidR="00B31A2D" w:rsidRPr="00C267DD">
              <w:rPr>
                <w:rFonts w:ascii="Calibri" w:hAnsi="Calibri" w:cs="Arial"/>
                <w:b/>
                <w:color w:val="002060"/>
                <w:sz w:val="22"/>
                <w:szCs w:val="22"/>
                <w:vertAlign w:val="superscript"/>
                <w:lang w:val="el-GR"/>
              </w:rPr>
              <w:t>ο</w:t>
            </w:r>
            <w:r w:rsidR="00B31A2D" w:rsidRPr="00C267DD">
              <w:rPr>
                <w:rFonts w:ascii="Calibri" w:hAnsi="Calibri" w:cs="Arial"/>
                <w:b/>
                <w:color w:val="002060"/>
                <w:sz w:val="22"/>
                <w:szCs w:val="22"/>
                <w:lang w:val="el-GR"/>
              </w:rPr>
              <w:t xml:space="preserve"> </w:t>
            </w:r>
          </w:p>
        </w:tc>
      </w:tr>
      <w:tr w:rsidR="000F4FD4" w:rsidRPr="001E3D8A" w14:paraId="24352FD2" w14:textId="77777777" w:rsidTr="007673F3">
        <w:trPr>
          <w:trHeight w:val="375"/>
        </w:trPr>
        <w:tc>
          <w:tcPr>
            <w:tcW w:w="3205" w:type="dxa"/>
            <w:shd w:val="clear" w:color="auto" w:fill="DDD9C3" w:themeFill="background2" w:themeFillShade="E6"/>
            <w:vAlign w:val="center"/>
          </w:tcPr>
          <w:p w14:paraId="31EAB3D5"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1401CD7F" w14:textId="75E92273" w:rsidR="000F4FD4" w:rsidRPr="00E55866" w:rsidRDefault="00E55866" w:rsidP="00451120">
            <w:pPr>
              <w:rPr>
                <w:rFonts w:ascii="Calibri" w:hAnsi="Calibri" w:cs="Arial"/>
                <w:sz w:val="22"/>
                <w:szCs w:val="22"/>
                <w:lang w:val="el-GR"/>
              </w:rPr>
            </w:pPr>
            <w:r w:rsidRPr="00E55866">
              <w:rPr>
                <w:rFonts w:ascii="Calibri" w:hAnsi="Calibri" w:cs="Arial"/>
                <w:color w:val="002060"/>
                <w:sz w:val="22"/>
                <w:szCs w:val="22"/>
                <w:lang w:val="el-GR"/>
              </w:rPr>
              <w:t>ΑΝΑΛΟΓΙΣΤΙΚΑ ΜΟΝΤΕΛΑ ΣΥΜΒΑΝΤΩΝ ΖΩΗΣ Ι</w:t>
            </w:r>
          </w:p>
        </w:tc>
      </w:tr>
      <w:tr w:rsidR="000F4FD4" w:rsidRPr="00705AAD" w14:paraId="09D99643" w14:textId="77777777" w:rsidTr="007673F3">
        <w:trPr>
          <w:trHeight w:val="196"/>
        </w:trPr>
        <w:tc>
          <w:tcPr>
            <w:tcW w:w="5637" w:type="dxa"/>
            <w:gridSpan w:val="3"/>
            <w:shd w:val="clear" w:color="auto" w:fill="DDD9C3" w:themeFill="background2" w:themeFillShade="E6"/>
            <w:vAlign w:val="center"/>
          </w:tcPr>
          <w:p w14:paraId="277844FC"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4BFB4C24"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02A4DDB2"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7EEDBB16" w14:textId="77777777" w:rsidTr="007673F3">
        <w:trPr>
          <w:trHeight w:val="194"/>
        </w:trPr>
        <w:tc>
          <w:tcPr>
            <w:tcW w:w="5637" w:type="dxa"/>
            <w:gridSpan w:val="3"/>
          </w:tcPr>
          <w:p w14:paraId="7B663C57" w14:textId="77777777" w:rsidR="000F4FD4" w:rsidRPr="00C267DD" w:rsidRDefault="00B31A2D" w:rsidP="007673F3">
            <w:pPr>
              <w:jc w:val="right"/>
              <w:rPr>
                <w:rFonts w:ascii="Calibri" w:hAnsi="Calibri" w:cs="Arial"/>
                <w:color w:val="002060"/>
                <w:sz w:val="22"/>
                <w:szCs w:val="22"/>
                <w:lang w:val="el-GR"/>
              </w:rPr>
            </w:pPr>
            <w:r w:rsidRPr="00C267DD">
              <w:rPr>
                <w:rFonts w:ascii="Calibri" w:hAnsi="Calibri" w:cs="Arial"/>
                <w:color w:val="002060"/>
                <w:sz w:val="22"/>
                <w:szCs w:val="22"/>
                <w:lang w:val="el-GR"/>
              </w:rPr>
              <w:t>Διαλέξεις</w:t>
            </w:r>
          </w:p>
        </w:tc>
        <w:tc>
          <w:tcPr>
            <w:tcW w:w="1559" w:type="dxa"/>
            <w:gridSpan w:val="2"/>
          </w:tcPr>
          <w:p w14:paraId="1C25C8B0" w14:textId="5BBC5E98" w:rsidR="000F4FD4" w:rsidRPr="00C267DD" w:rsidRDefault="00451120" w:rsidP="007673F3">
            <w:pPr>
              <w:jc w:val="center"/>
              <w:rPr>
                <w:rFonts w:ascii="Calibri" w:hAnsi="Calibri" w:cs="Arial"/>
                <w:color w:val="002060"/>
                <w:sz w:val="22"/>
                <w:szCs w:val="22"/>
                <w:lang w:val="el-GR"/>
              </w:rPr>
            </w:pPr>
            <w:r>
              <w:rPr>
                <w:rFonts w:ascii="Calibri" w:hAnsi="Calibri" w:cs="Arial"/>
                <w:color w:val="002060"/>
                <w:sz w:val="22"/>
                <w:szCs w:val="22"/>
                <w:lang w:val="el-GR"/>
              </w:rPr>
              <w:t>4</w:t>
            </w:r>
          </w:p>
        </w:tc>
        <w:tc>
          <w:tcPr>
            <w:tcW w:w="1240" w:type="dxa"/>
          </w:tcPr>
          <w:p w14:paraId="7090D2A3" w14:textId="6485DEE2" w:rsidR="000F4FD4" w:rsidRPr="00C267DD" w:rsidRDefault="00451120" w:rsidP="007673F3">
            <w:pPr>
              <w:jc w:val="center"/>
              <w:rPr>
                <w:rFonts w:ascii="Calibri" w:hAnsi="Calibri" w:cs="Arial"/>
                <w:color w:val="002060"/>
                <w:sz w:val="22"/>
                <w:szCs w:val="22"/>
                <w:lang w:val="el-GR"/>
              </w:rPr>
            </w:pPr>
            <w:r>
              <w:rPr>
                <w:rFonts w:ascii="Calibri" w:hAnsi="Calibri" w:cs="Arial"/>
                <w:color w:val="002060"/>
                <w:sz w:val="22"/>
                <w:szCs w:val="22"/>
                <w:lang w:val="el-GR"/>
              </w:rPr>
              <w:t>6</w:t>
            </w:r>
          </w:p>
        </w:tc>
      </w:tr>
      <w:tr w:rsidR="000F4FD4" w:rsidRPr="00705AAD" w14:paraId="4322C887" w14:textId="77777777" w:rsidTr="007673F3">
        <w:trPr>
          <w:trHeight w:val="194"/>
        </w:trPr>
        <w:tc>
          <w:tcPr>
            <w:tcW w:w="5637" w:type="dxa"/>
            <w:gridSpan w:val="3"/>
          </w:tcPr>
          <w:p w14:paraId="012F2F36" w14:textId="684B966D" w:rsidR="000F4FD4" w:rsidRPr="00705AAD" w:rsidRDefault="000F4FD4" w:rsidP="007673F3">
            <w:pPr>
              <w:jc w:val="right"/>
              <w:rPr>
                <w:rFonts w:ascii="Calibri" w:hAnsi="Calibri" w:cs="Arial"/>
                <w:b/>
                <w:color w:val="002060"/>
                <w:sz w:val="20"/>
                <w:szCs w:val="20"/>
                <w:lang w:val="el-GR"/>
              </w:rPr>
            </w:pPr>
          </w:p>
        </w:tc>
        <w:tc>
          <w:tcPr>
            <w:tcW w:w="1559" w:type="dxa"/>
            <w:gridSpan w:val="2"/>
          </w:tcPr>
          <w:p w14:paraId="0A32D39B" w14:textId="3D5475A8" w:rsidR="000F4FD4" w:rsidRPr="00705AAD" w:rsidRDefault="000F4FD4" w:rsidP="00E55866">
            <w:pPr>
              <w:jc w:val="center"/>
              <w:rPr>
                <w:rFonts w:ascii="Calibri" w:hAnsi="Calibri" w:cs="Arial"/>
                <w:color w:val="002060"/>
                <w:sz w:val="20"/>
                <w:szCs w:val="20"/>
                <w:lang w:val="el-GR"/>
              </w:rPr>
            </w:pPr>
          </w:p>
        </w:tc>
        <w:tc>
          <w:tcPr>
            <w:tcW w:w="1240" w:type="dxa"/>
          </w:tcPr>
          <w:p w14:paraId="5AECA27F" w14:textId="77777777" w:rsidR="000F4FD4" w:rsidRPr="00705AAD" w:rsidRDefault="000F4FD4" w:rsidP="007673F3">
            <w:pPr>
              <w:rPr>
                <w:rFonts w:ascii="Calibri" w:hAnsi="Calibri" w:cs="Arial"/>
                <w:color w:val="002060"/>
                <w:sz w:val="20"/>
                <w:szCs w:val="20"/>
                <w:lang w:val="el-GR"/>
              </w:rPr>
            </w:pPr>
          </w:p>
        </w:tc>
      </w:tr>
      <w:tr w:rsidR="000F4FD4" w:rsidRPr="00705AAD" w14:paraId="6D746E5B" w14:textId="77777777" w:rsidTr="007673F3">
        <w:trPr>
          <w:trHeight w:val="194"/>
        </w:trPr>
        <w:tc>
          <w:tcPr>
            <w:tcW w:w="5637" w:type="dxa"/>
            <w:gridSpan w:val="3"/>
          </w:tcPr>
          <w:p w14:paraId="2873B1DF"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797B6EC8"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0F55E665" w14:textId="77777777" w:rsidR="000F4FD4" w:rsidRPr="00705AAD" w:rsidRDefault="000F4FD4" w:rsidP="007673F3">
            <w:pPr>
              <w:rPr>
                <w:rFonts w:ascii="Calibri" w:hAnsi="Calibri" w:cs="Arial"/>
                <w:color w:val="002060"/>
                <w:sz w:val="20"/>
                <w:szCs w:val="20"/>
                <w:lang w:val="el-GR"/>
              </w:rPr>
            </w:pPr>
          </w:p>
        </w:tc>
      </w:tr>
      <w:tr w:rsidR="000F4FD4" w:rsidRPr="001E3D8A" w14:paraId="5586A0C4" w14:textId="77777777" w:rsidTr="007673F3">
        <w:trPr>
          <w:trHeight w:val="194"/>
        </w:trPr>
        <w:tc>
          <w:tcPr>
            <w:tcW w:w="5637" w:type="dxa"/>
            <w:gridSpan w:val="3"/>
            <w:shd w:val="clear" w:color="auto" w:fill="DDD9C3" w:themeFill="background2" w:themeFillShade="E6"/>
          </w:tcPr>
          <w:p w14:paraId="26BA85B5"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5CA832EA"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3BB623C2" w14:textId="77777777" w:rsidR="000F4FD4" w:rsidRPr="00705AAD" w:rsidRDefault="000F4FD4" w:rsidP="007673F3">
            <w:pPr>
              <w:rPr>
                <w:rFonts w:ascii="Calibri" w:hAnsi="Calibri" w:cs="Arial"/>
                <w:color w:val="002060"/>
                <w:sz w:val="20"/>
                <w:szCs w:val="20"/>
                <w:lang w:val="el-GR"/>
              </w:rPr>
            </w:pPr>
          </w:p>
        </w:tc>
      </w:tr>
      <w:tr w:rsidR="000F4FD4" w:rsidRPr="007E6482" w14:paraId="5F69C02C" w14:textId="77777777" w:rsidTr="007673F3">
        <w:trPr>
          <w:trHeight w:val="599"/>
        </w:trPr>
        <w:tc>
          <w:tcPr>
            <w:tcW w:w="3205" w:type="dxa"/>
            <w:shd w:val="clear" w:color="auto" w:fill="DDD9C3" w:themeFill="background2" w:themeFillShade="E6"/>
          </w:tcPr>
          <w:p w14:paraId="28D2707F"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2C328431"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29060D4A"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6838A047" w14:textId="60AE25D0" w:rsidR="000F4FD4" w:rsidRPr="00C267DD" w:rsidRDefault="00E55866" w:rsidP="007673F3">
            <w:pPr>
              <w:rPr>
                <w:rFonts w:ascii="Calibri" w:hAnsi="Calibri" w:cs="Arial"/>
                <w:color w:val="002060"/>
                <w:sz w:val="22"/>
                <w:szCs w:val="22"/>
                <w:lang w:val="el-GR"/>
              </w:rPr>
            </w:pPr>
            <w:r>
              <w:rPr>
                <w:rFonts w:ascii="Calibri" w:hAnsi="Calibri" w:cs="Arial"/>
                <w:color w:val="002060"/>
                <w:sz w:val="22"/>
                <w:szCs w:val="22"/>
                <w:lang w:val="el-GR"/>
              </w:rPr>
              <w:t>Υποχρεωτικό ΓΕΝΙΚΟΥ ΥΠΟΒΑΘΡΟΥ</w:t>
            </w:r>
          </w:p>
        </w:tc>
      </w:tr>
      <w:tr w:rsidR="000F4FD4" w:rsidRPr="00705AAD" w14:paraId="28E3C2CE" w14:textId="77777777" w:rsidTr="007673F3">
        <w:tc>
          <w:tcPr>
            <w:tcW w:w="3205" w:type="dxa"/>
            <w:shd w:val="clear" w:color="auto" w:fill="DDD9C3" w:themeFill="background2" w:themeFillShade="E6"/>
          </w:tcPr>
          <w:p w14:paraId="76FE45E7"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13CC9AAB"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2B564D64" w14:textId="196B4A10" w:rsidR="000F4FD4" w:rsidRPr="00C267DD" w:rsidRDefault="00A41AC6" w:rsidP="007673F3">
            <w:pPr>
              <w:rPr>
                <w:rFonts w:ascii="Calibri" w:hAnsi="Calibri" w:cs="Arial"/>
                <w:color w:val="002060"/>
                <w:sz w:val="22"/>
                <w:szCs w:val="22"/>
                <w:lang w:val="el-GR"/>
              </w:rPr>
            </w:pPr>
            <w:r>
              <w:rPr>
                <w:rFonts w:ascii="Calibri" w:hAnsi="Calibri" w:cs="Arial"/>
                <w:color w:val="002060"/>
                <w:sz w:val="22"/>
                <w:szCs w:val="22"/>
                <w:lang w:val="el-GR"/>
              </w:rPr>
              <w:t>ΠΙΘΑΝΟΤΗΤΕΣ Ι, ΙΙ</w:t>
            </w:r>
          </w:p>
        </w:tc>
      </w:tr>
      <w:tr w:rsidR="000F4FD4" w:rsidRPr="00705AAD" w14:paraId="40BB2DFC" w14:textId="77777777" w:rsidTr="007673F3">
        <w:tc>
          <w:tcPr>
            <w:tcW w:w="3205" w:type="dxa"/>
            <w:shd w:val="clear" w:color="auto" w:fill="DDD9C3" w:themeFill="background2" w:themeFillShade="E6"/>
          </w:tcPr>
          <w:p w14:paraId="44B52BA2"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7557B4AC" w14:textId="77777777" w:rsidR="000F4FD4" w:rsidRPr="00C267DD" w:rsidRDefault="005E4D8B" w:rsidP="007673F3">
            <w:pPr>
              <w:rPr>
                <w:rFonts w:ascii="Calibri" w:hAnsi="Calibri" w:cs="Arial"/>
                <w:color w:val="002060"/>
                <w:sz w:val="22"/>
                <w:szCs w:val="22"/>
                <w:lang w:val="el-GR"/>
              </w:rPr>
            </w:pPr>
            <w:r w:rsidRPr="00C267DD">
              <w:rPr>
                <w:rFonts w:ascii="Calibri" w:hAnsi="Calibri" w:cs="Arial"/>
                <w:color w:val="002060"/>
                <w:sz w:val="22"/>
                <w:szCs w:val="22"/>
                <w:lang w:val="el-GR"/>
              </w:rPr>
              <w:t>Ελληνική</w:t>
            </w:r>
          </w:p>
        </w:tc>
      </w:tr>
      <w:tr w:rsidR="000F4FD4" w:rsidRPr="00E55866" w14:paraId="41A2C3DA" w14:textId="77777777" w:rsidTr="007673F3">
        <w:tc>
          <w:tcPr>
            <w:tcW w:w="3205" w:type="dxa"/>
            <w:shd w:val="clear" w:color="auto" w:fill="DDD9C3" w:themeFill="background2" w:themeFillShade="E6"/>
          </w:tcPr>
          <w:p w14:paraId="67DFEDFE"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14BA1420" w14:textId="13ED7CD9" w:rsidR="000F4FD4" w:rsidRPr="00C267DD" w:rsidRDefault="00E55866" w:rsidP="007673F3">
            <w:pPr>
              <w:rPr>
                <w:rFonts w:ascii="Calibri" w:hAnsi="Calibri" w:cs="Arial"/>
                <w:color w:val="002060"/>
                <w:sz w:val="22"/>
                <w:szCs w:val="22"/>
                <w:lang w:val="el-GR"/>
              </w:rPr>
            </w:pPr>
            <w:r>
              <w:rPr>
                <w:rFonts w:ascii="Calibri" w:hAnsi="Calibri" w:cs="Arial"/>
                <w:color w:val="002060"/>
                <w:sz w:val="22"/>
                <w:szCs w:val="22"/>
                <w:lang w:val="el-GR"/>
              </w:rPr>
              <w:t>ΝΑΙ</w:t>
            </w:r>
          </w:p>
        </w:tc>
      </w:tr>
      <w:tr w:rsidR="000F4FD4" w:rsidRPr="00544CAE" w14:paraId="6E307D22" w14:textId="77777777" w:rsidTr="007673F3">
        <w:tc>
          <w:tcPr>
            <w:tcW w:w="3205" w:type="dxa"/>
            <w:shd w:val="clear" w:color="auto" w:fill="DDD9C3" w:themeFill="background2" w:themeFillShade="E6"/>
          </w:tcPr>
          <w:p w14:paraId="1C404CD4"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69D01131" w14:textId="16359793" w:rsidR="000F4FD4" w:rsidRPr="00733313" w:rsidRDefault="00733313" w:rsidP="007673F3">
            <w:pPr>
              <w:spacing w:after="200" w:line="276" w:lineRule="auto"/>
              <w:rPr>
                <w:rFonts w:ascii="Calibri" w:eastAsia="Calibri" w:hAnsi="Calibri" w:cs="Arial"/>
                <w:color w:val="002060"/>
                <w:sz w:val="18"/>
                <w:szCs w:val="18"/>
                <w:lang w:val="en-GB"/>
              </w:rPr>
            </w:pPr>
            <w:r w:rsidRPr="00733313">
              <w:rPr>
                <w:rFonts w:ascii="Calibri" w:eastAsia="Calibri" w:hAnsi="Calibri" w:cs="Arial"/>
                <w:color w:val="002060"/>
                <w:sz w:val="18"/>
                <w:szCs w:val="18"/>
                <w:lang w:val="en-GB"/>
              </w:rPr>
              <w:t>https://eclass.unipi.gr/courses/SAE238/</w:t>
            </w:r>
          </w:p>
        </w:tc>
      </w:tr>
    </w:tbl>
    <w:p w14:paraId="553D769D"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36919733" w14:textId="77777777" w:rsidTr="00305D37">
        <w:tc>
          <w:tcPr>
            <w:tcW w:w="8472" w:type="dxa"/>
            <w:gridSpan w:val="2"/>
            <w:tcBorders>
              <w:bottom w:val="nil"/>
            </w:tcBorders>
            <w:shd w:val="clear" w:color="auto" w:fill="DDD9C3" w:themeFill="background2" w:themeFillShade="E6"/>
          </w:tcPr>
          <w:p w14:paraId="31FC4937"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1E3D8A" w14:paraId="7FC2170E" w14:textId="77777777" w:rsidTr="00305D37">
        <w:tc>
          <w:tcPr>
            <w:tcW w:w="8472" w:type="dxa"/>
            <w:gridSpan w:val="2"/>
            <w:tcBorders>
              <w:top w:val="nil"/>
            </w:tcBorders>
            <w:shd w:val="clear" w:color="auto" w:fill="DDD9C3" w:themeFill="background2" w:themeFillShade="E6"/>
          </w:tcPr>
          <w:p w14:paraId="0A625FAA"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AFCB1F4"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4B43DC7E"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056EBB8C" w14:textId="77777777"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041DA14F"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1E3D8A" w14:paraId="38F8EEE8" w14:textId="77777777" w:rsidTr="00305D37">
        <w:tc>
          <w:tcPr>
            <w:tcW w:w="8472" w:type="dxa"/>
            <w:gridSpan w:val="2"/>
          </w:tcPr>
          <w:p w14:paraId="264F92E5" w14:textId="7E4E4FAD" w:rsidR="0052617D" w:rsidRDefault="00E55866" w:rsidP="009E375C">
            <w:pPr>
              <w:widowControl w:val="0"/>
              <w:autoSpaceDE w:val="0"/>
              <w:autoSpaceDN w:val="0"/>
              <w:adjustRightInd w:val="0"/>
              <w:spacing w:after="60"/>
              <w:rPr>
                <w:rFonts w:eastAsia="Calibri"/>
                <w:color w:val="002060"/>
                <w:lang w:val="el-GR"/>
              </w:rPr>
            </w:pPr>
            <w:r>
              <w:rPr>
                <w:rFonts w:eastAsia="Calibri"/>
                <w:color w:val="002060"/>
                <w:lang w:val="el-GR"/>
              </w:rPr>
              <w:t>Στόχος του μαθήματος είναι</w:t>
            </w:r>
            <w:r w:rsidR="0052617D">
              <w:rPr>
                <w:rFonts w:eastAsia="Calibri"/>
                <w:color w:val="002060"/>
                <w:lang w:val="el-GR"/>
              </w:rPr>
              <w:t>:</w:t>
            </w:r>
          </w:p>
          <w:p w14:paraId="37F5AC62" w14:textId="23A9A8E9" w:rsidR="00544CAE" w:rsidRDefault="0052617D" w:rsidP="0052617D">
            <w:pPr>
              <w:widowControl w:val="0"/>
              <w:autoSpaceDE w:val="0"/>
              <w:autoSpaceDN w:val="0"/>
              <w:adjustRightInd w:val="0"/>
              <w:spacing w:after="60"/>
              <w:jc w:val="both"/>
              <w:rPr>
                <w:rFonts w:eastAsia="Calibri"/>
                <w:color w:val="002060"/>
                <w:lang w:val="el-GR"/>
              </w:rPr>
            </w:pPr>
            <w:r w:rsidRPr="0052617D">
              <w:rPr>
                <w:rFonts w:eastAsia="Calibri"/>
                <w:color w:val="002060"/>
                <w:sz w:val="18"/>
                <w:szCs w:val="18"/>
                <w:lang w:val="el-GR"/>
              </w:rPr>
              <w:t>●</w:t>
            </w:r>
            <w:r w:rsidR="00E55866">
              <w:rPr>
                <w:rFonts w:eastAsia="Calibri"/>
                <w:color w:val="002060"/>
                <w:lang w:val="el-GR"/>
              </w:rPr>
              <w:t xml:space="preserve"> </w:t>
            </w:r>
            <w:r>
              <w:rPr>
                <w:rFonts w:eastAsia="Calibri"/>
                <w:color w:val="002060"/>
                <w:lang w:val="el-GR"/>
              </w:rPr>
              <w:t>Ν</w:t>
            </w:r>
            <w:r w:rsidR="00E55866">
              <w:rPr>
                <w:rFonts w:eastAsia="Calibri"/>
                <w:color w:val="002060"/>
                <w:lang w:val="el-GR"/>
              </w:rPr>
              <w:t>α παρέχει ένα σταθερό υπόβαθρο στο αντικείμενο των συμβάντων ζωής ενός προσώπου και στο αντικείμενο της ανάλυσης ασφαλίσεων ζωής (</w:t>
            </w:r>
            <w:r w:rsidR="00E55866">
              <w:rPr>
                <w:rFonts w:eastAsia="Calibri"/>
                <w:color w:val="002060"/>
              </w:rPr>
              <w:t>life</w:t>
            </w:r>
            <w:r w:rsidR="00E55866" w:rsidRPr="00E55866">
              <w:rPr>
                <w:rFonts w:eastAsia="Calibri"/>
                <w:color w:val="002060"/>
                <w:lang w:val="el-GR"/>
              </w:rPr>
              <w:t xml:space="preserve"> </w:t>
            </w:r>
            <w:r w:rsidR="00E55866">
              <w:rPr>
                <w:rFonts w:eastAsia="Calibri"/>
                <w:color w:val="002060"/>
              </w:rPr>
              <w:t>insurance</w:t>
            </w:r>
            <w:r w:rsidR="00E55866">
              <w:rPr>
                <w:rFonts w:eastAsia="Calibri"/>
                <w:color w:val="002060"/>
                <w:lang w:val="el-GR"/>
              </w:rPr>
              <w:t>) και</w:t>
            </w:r>
            <w:r w:rsidR="00E55866" w:rsidRPr="00E55866">
              <w:rPr>
                <w:rFonts w:eastAsia="Calibri"/>
                <w:color w:val="002060"/>
                <w:lang w:val="el-GR"/>
              </w:rPr>
              <w:t xml:space="preserve"> </w:t>
            </w:r>
            <w:r w:rsidR="00E55866">
              <w:rPr>
                <w:rFonts w:eastAsia="Calibri"/>
                <w:color w:val="002060"/>
                <w:lang w:val="el-GR"/>
              </w:rPr>
              <w:t>ραντών ζωής (</w:t>
            </w:r>
            <w:r w:rsidR="00E55866">
              <w:rPr>
                <w:rFonts w:eastAsia="Calibri"/>
                <w:color w:val="002060"/>
              </w:rPr>
              <w:t>life</w:t>
            </w:r>
            <w:r w:rsidR="00E55866" w:rsidRPr="00E55866">
              <w:rPr>
                <w:rFonts w:eastAsia="Calibri"/>
                <w:color w:val="002060"/>
                <w:lang w:val="el-GR"/>
              </w:rPr>
              <w:t xml:space="preserve"> </w:t>
            </w:r>
            <w:r w:rsidR="00E55866">
              <w:rPr>
                <w:rFonts w:eastAsia="Calibri"/>
                <w:color w:val="002060"/>
              </w:rPr>
              <w:t>annuities</w:t>
            </w:r>
            <w:r w:rsidR="00E55866">
              <w:rPr>
                <w:rFonts w:eastAsia="Calibri"/>
                <w:color w:val="002060"/>
                <w:lang w:val="el-GR"/>
              </w:rPr>
              <w:t>), στον υπολογισμό ασφαλίστρων και μαθηματικών αποθεμάτων ασφαλιστηρίων συμβολαίων ζωής</w:t>
            </w:r>
            <w:r>
              <w:rPr>
                <w:rFonts w:eastAsia="Calibri"/>
                <w:color w:val="002060"/>
                <w:lang w:val="el-GR"/>
              </w:rPr>
              <w:t>.</w:t>
            </w:r>
          </w:p>
          <w:p w14:paraId="3EC1A5D2" w14:textId="0D4739E1" w:rsidR="0052617D" w:rsidRDefault="0052617D" w:rsidP="0052617D">
            <w:pPr>
              <w:widowControl w:val="0"/>
              <w:autoSpaceDE w:val="0"/>
              <w:autoSpaceDN w:val="0"/>
              <w:adjustRightInd w:val="0"/>
              <w:spacing w:after="60"/>
              <w:jc w:val="both"/>
              <w:rPr>
                <w:rFonts w:eastAsia="Calibri"/>
                <w:color w:val="002060"/>
                <w:lang w:val="el-GR"/>
              </w:rPr>
            </w:pPr>
            <w:r w:rsidRPr="0052617D">
              <w:rPr>
                <w:rFonts w:eastAsia="Calibri"/>
                <w:color w:val="002060"/>
                <w:sz w:val="18"/>
                <w:szCs w:val="18"/>
                <w:lang w:val="el-GR"/>
              </w:rPr>
              <w:t>●</w:t>
            </w:r>
            <w:r>
              <w:rPr>
                <w:rFonts w:eastAsia="Calibri"/>
                <w:color w:val="002060"/>
                <w:lang w:val="el-GR"/>
              </w:rPr>
              <w:t xml:space="preserve"> Να παρέχει μια εισαγωγή στις μαθηματικές-πιθανοθεωρητικές μεθόδους για τη διαχείριση του κινδύνου σε ασφαλίσεις ζωής.</w:t>
            </w:r>
          </w:p>
          <w:p w14:paraId="0084155B" w14:textId="0EBDB813" w:rsidR="0052617D" w:rsidRDefault="0052617D" w:rsidP="0052617D">
            <w:pPr>
              <w:widowControl w:val="0"/>
              <w:autoSpaceDE w:val="0"/>
              <w:autoSpaceDN w:val="0"/>
              <w:adjustRightInd w:val="0"/>
              <w:spacing w:after="60"/>
              <w:jc w:val="both"/>
              <w:rPr>
                <w:rFonts w:eastAsia="Calibri"/>
                <w:color w:val="002060"/>
                <w:lang w:val="el-GR"/>
              </w:rPr>
            </w:pPr>
            <w:r w:rsidRPr="0052617D">
              <w:rPr>
                <w:rFonts w:eastAsia="Calibri"/>
                <w:color w:val="002060"/>
                <w:sz w:val="18"/>
                <w:szCs w:val="18"/>
                <w:lang w:val="el-GR"/>
              </w:rPr>
              <w:t>●</w:t>
            </w:r>
            <w:r>
              <w:rPr>
                <w:rFonts w:eastAsia="Calibri"/>
                <w:color w:val="002060"/>
                <w:lang w:val="el-GR"/>
              </w:rPr>
              <w:t xml:space="preserve"> Να αναπτύξει ικανότητες για τον υπολογισμό των ασφαλίστρων και των μαθηματικών αποθεμάτων για διάφορες μορφές ασφαλιστηρίων συμβολαίων ασφαλίσεων ζωής.</w:t>
            </w:r>
          </w:p>
          <w:p w14:paraId="1F4B6CD9" w14:textId="77777777" w:rsidR="0052617D" w:rsidRDefault="0052617D" w:rsidP="009E375C">
            <w:pPr>
              <w:widowControl w:val="0"/>
              <w:autoSpaceDE w:val="0"/>
              <w:autoSpaceDN w:val="0"/>
              <w:adjustRightInd w:val="0"/>
              <w:spacing w:after="60"/>
              <w:rPr>
                <w:rFonts w:eastAsia="Calibri"/>
                <w:color w:val="002060"/>
                <w:lang w:val="el-GR"/>
              </w:rPr>
            </w:pPr>
          </w:p>
          <w:p w14:paraId="2B9B804C" w14:textId="0A84ACAD" w:rsidR="0052617D" w:rsidRDefault="0052617D" w:rsidP="009E375C">
            <w:pPr>
              <w:widowControl w:val="0"/>
              <w:autoSpaceDE w:val="0"/>
              <w:autoSpaceDN w:val="0"/>
              <w:adjustRightInd w:val="0"/>
              <w:spacing w:after="60"/>
              <w:rPr>
                <w:rFonts w:eastAsia="Calibri"/>
                <w:color w:val="002060"/>
                <w:lang w:val="el-GR"/>
              </w:rPr>
            </w:pPr>
            <w:r>
              <w:rPr>
                <w:rFonts w:eastAsia="Calibri"/>
                <w:color w:val="002060"/>
                <w:lang w:val="el-GR"/>
              </w:rPr>
              <w:lastRenderedPageBreak/>
              <w:t>Μετά την ολοκλήρωση του μαθήματος, οι φοιτητές θα πρέπει:</w:t>
            </w:r>
          </w:p>
          <w:p w14:paraId="1EE12C96" w14:textId="092E3AEC" w:rsidR="0052617D" w:rsidRDefault="0052617D" w:rsidP="0052617D">
            <w:pPr>
              <w:widowControl w:val="0"/>
              <w:autoSpaceDE w:val="0"/>
              <w:autoSpaceDN w:val="0"/>
              <w:adjustRightInd w:val="0"/>
              <w:spacing w:after="60"/>
              <w:jc w:val="both"/>
              <w:rPr>
                <w:rFonts w:eastAsia="Calibri"/>
                <w:color w:val="002060"/>
                <w:lang w:val="el-GR"/>
              </w:rPr>
            </w:pPr>
            <w:r w:rsidRPr="0052617D">
              <w:rPr>
                <w:rFonts w:eastAsia="Calibri"/>
                <w:color w:val="002060"/>
                <w:sz w:val="18"/>
                <w:szCs w:val="18"/>
                <w:lang w:val="el-GR"/>
              </w:rPr>
              <w:t>●</w:t>
            </w:r>
            <w:r>
              <w:rPr>
                <w:rFonts w:eastAsia="Calibri"/>
                <w:color w:val="002060"/>
                <w:lang w:val="el-GR"/>
              </w:rPr>
              <w:t xml:space="preserve"> Να μπορούν να εξηγούν και να αναλύουν τους παράγοντες που επηρεάζουν την ανθρώπινη θνησιμότητα, και τα ασφαλιστήρια συμβόλαια ασφαλίσεων ζωής και ραντών ζωής ενός προσώπου.</w:t>
            </w:r>
          </w:p>
          <w:p w14:paraId="4D972934" w14:textId="548F2A97" w:rsidR="0052617D" w:rsidRDefault="0052617D" w:rsidP="0052617D">
            <w:pPr>
              <w:widowControl w:val="0"/>
              <w:autoSpaceDE w:val="0"/>
              <w:autoSpaceDN w:val="0"/>
              <w:adjustRightInd w:val="0"/>
              <w:spacing w:after="60"/>
              <w:jc w:val="both"/>
              <w:rPr>
                <w:rFonts w:eastAsia="Calibri"/>
                <w:color w:val="002060"/>
                <w:lang w:val="el-GR"/>
              </w:rPr>
            </w:pPr>
            <w:r w:rsidRPr="0052617D">
              <w:rPr>
                <w:rFonts w:eastAsia="Calibri"/>
                <w:color w:val="002060"/>
                <w:sz w:val="18"/>
                <w:szCs w:val="18"/>
                <w:lang w:val="el-GR"/>
              </w:rPr>
              <w:t>●</w:t>
            </w:r>
            <w:r>
              <w:rPr>
                <w:rFonts w:eastAsia="Calibri"/>
                <w:color w:val="002060"/>
                <w:lang w:val="el-GR"/>
              </w:rPr>
              <w:t xml:space="preserve"> Να έχουν κατανοήσει τις έννοιες και τις μαθηματικές υποθέσεις του υπολειπόμενου χρόνου ζωής μη-αρνητικών τυχαίων τυχαίων μεταβλητών σε συνεχή και διακριτό χρόνο και να μπορούν να υπολογίζουν τις κατανομές και τα μέτρα θέσης και διακύμανσης τέτοιων τυχαίων μεταβλητών. </w:t>
            </w:r>
          </w:p>
          <w:p w14:paraId="1361D2CD" w14:textId="7459E2F5" w:rsidR="0052617D" w:rsidRDefault="0052617D" w:rsidP="0052617D">
            <w:pPr>
              <w:widowControl w:val="0"/>
              <w:autoSpaceDE w:val="0"/>
              <w:autoSpaceDN w:val="0"/>
              <w:adjustRightInd w:val="0"/>
              <w:spacing w:after="60"/>
              <w:jc w:val="both"/>
              <w:rPr>
                <w:rFonts w:eastAsia="Calibri"/>
                <w:color w:val="002060"/>
                <w:lang w:val="el-GR"/>
              </w:rPr>
            </w:pPr>
            <w:r w:rsidRPr="0052617D">
              <w:rPr>
                <w:rFonts w:eastAsia="Calibri"/>
                <w:color w:val="002060"/>
                <w:sz w:val="18"/>
                <w:szCs w:val="18"/>
                <w:lang w:val="el-GR"/>
              </w:rPr>
              <w:t>●</w:t>
            </w:r>
            <w:r>
              <w:rPr>
                <w:rFonts w:eastAsia="Calibri"/>
                <w:color w:val="002060"/>
                <w:lang w:val="el-GR"/>
              </w:rPr>
              <w:t xml:space="preserve"> Να</w:t>
            </w:r>
            <w:r w:rsidR="00B23854">
              <w:rPr>
                <w:rFonts w:eastAsia="Calibri"/>
                <w:color w:val="002060"/>
                <w:lang w:val="el-GR"/>
              </w:rPr>
              <w:t xml:space="preserve"> μπορούν να κατανοήσουν, να υπολογίζουν (σε θεωρητικά και αριθμητικά παραδείγματα) και να ερμηνεύουν τις συναρτήσεις επιβίωσης και την ένταση θνησιμότητας τυχαίων μεταβλητών που περιγράφουν τη διάρκεια της ανθρώπινης ζωής.</w:t>
            </w:r>
          </w:p>
          <w:p w14:paraId="7E36F15D" w14:textId="28A0996F" w:rsidR="00B23854" w:rsidRPr="00B23854" w:rsidRDefault="00B23854" w:rsidP="0052617D">
            <w:pPr>
              <w:widowControl w:val="0"/>
              <w:autoSpaceDE w:val="0"/>
              <w:autoSpaceDN w:val="0"/>
              <w:adjustRightInd w:val="0"/>
              <w:spacing w:after="60"/>
              <w:jc w:val="both"/>
              <w:rPr>
                <w:rFonts w:eastAsia="Calibri"/>
                <w:color w:val="002060"/>
                <w:lang w:val="el-GR"/>
              </w:rPr>
            </w:pPr>
            <w:r w:rsidRPr="0052617D">
              <w:rPr>
                <w:rFonts w:eastAsia="Calibri"/>
                <w:color w:val="002060"/>
                <w:sz w:val="18"/>
                <w:szCs w:val="18"/>
                <w:lang w:val="el-GR"/>
              </w:rPr>
              <w:t>●</w:t>
            </w:r>
            <w:r>
              <w:rPr>
                <w:rFonts w:eastAsia="Calibri"/>
                <w:color w:val="002060"/>
                <w:lang w:val="el-GR"/>
              </w:rPr>
              <w:t xml:space="preserve"> Να έχουν κατανοήσει και να χρησιμοποιούν διάφορους νόμους (κατανομές) θνησιμότητας της ανθρώπινης ζωής, όπως είναι οι νόμοι των </w:t>
            </w:r>
            <w:r>
              <w:rPr>
                <w:rFonts w:eastAsia="Calibri"/>
                <w:color w:val="002060"/>
              </w:rPr>
              <w:t>De</w:t>
            </w:r>
            <w:r w:rsidRPr="00B23854">
              <w:rPr>
                <w:rFonts w:eastAsia="Calibri"/>
                <w:color w:val="002060"/>
                <w:lang w:val="el-GR"/>
              </w:rPr>
              <w:t xml:space="preserve"> </w:t>
            </w:r>
            <w:r>
              <w:rPr>
                <w:rFonts w:eastAsia="Calibri"/>
                <w:color w:val="002060"/>
              </w:rPr>
              <w:t>Moivre</w:t>
            </w:r>
            <w:r w:rsidRPr="00B23854">
              <w:rPr>
                <w:rFonts w:eastAsia="Calibri"/>
                <w:color w:val="002060"/>
                <w:lang w:val="el-GR"/>
              </w:rPr>
              <w:t xml:space="preserve">, </w:t>
            </w:r>
            <w:r>
              <w:rPr>
                <w:rFonts w:eastAsia="Calibri"/>
                <w:color w:val="002060"/>
              </w:rPr>
              <w:t>Makeham</w:t>
            </w:r>
            <w:r w:rsidRPr="00B23854">
              <w:rPr>
                <w:rFonts w:eastAsia="Calibri"/>
                <w:color w:val="002060"/>
                <w:lang w:val="el-GR"/>
              </w:rPr>
              <w:t xml:space="preserve">, </w:t>
            </w:r>
            <w:r>
              <w:rPr>
                <w:rFonts w:eastAsia="Calibri"/>
                <w:color w:val="002060"/>
              </w:rPr>
              <w:t>Gompertz</w:t>
            </w:r>
            <w:r w:rsidRPr="00B23854">
              <w:rPr>
                <w:rFonts w:eastAsia="Calibri"/>
                <w:color w:val="002060"/>
                <w:lang w:val="el-GR"/>
              </w:rPr>
              <w:t xml:space="preserve"> </w:t>
            </w:r>
            <w:r>
              <w:rPr>
                <w:rFonts w:eastAsia="Calibri"/>
                <w:color w:val="002060"/>
                <w:lang w:val="el-GR"/>
              </w:rPr>
              <w:t>και ο εκθετικός νόμος.</w:t>
            </w:r>
          </w:p>
          <w:p w14:paraId="2CC4F3C8" w14:textId="410F2CD0" w:rsidR="00B23854" w:rsidRDefault="00B23854" w:rsidP="0052617D">
            <w:pPr>
              <w:widowControl w:val="0"/>
              <w:autoSpaceDE w:val="0"/>
              <w:autoSpaceDN w:val="0"/>
              <w:adjustRightInd w:val="0"/>
              <w:spacing w:after="60"/>
              <w:jc w:val="both"/>
              <w:rPr>
                <w:rFonts w:eastAsia="Calibri"/>
                <w:color w:val="002060"/>
                <w:lang w:val="el-GR"/>
              </w:rPr>
            </w:pPr>
            <w:r w:rsidRPr="0052617D">
              <w:rPr>
                <w:rFonts w:eastAsia="Calibri"/>
                <w:color w:val="002060"/>
                <w:sz w:val="18"/>
                <w:szCs w:val="18"/>
                <w:lang w:val="el-GR"/>
              </w:rPr>
              <w:t>●</w:t>
            </w:r>
            <w:r>
              <w:rPr>
                <w:rFonts w:eastAsia="Calibri"/>
                <w:color w:val="002060"/>
                <w:lang w:val="el-GR"/>
              </w:rPr>
              <w:t xml:space="preserve"> Να μπορούν να χρησιμοποιούν μεθόδους γραμμικής, αρμονικής και εκθετικής παρεμβολής για την μοντελοποίηση της θνησιμότητας κλασματικών ηλικιών κάνοντας παράλληλη χρήση πινάκων θνησιμότητας.</w:t>
            </w:r>
          </w:p>
          <w:p w14:paraId="342B07CC" w14:textId="30EA8BD7" w:rsidR="00B23854" w:rsidRDefault="00B23854" w:rsidP="0052617D">
            <w:pPr>
              <w:widowControl w:val="0"/>
              <w:autoSpaceDE w:val="0"/>
              <w:autoSpaceDN w:val="0"/>
              <w:adjustRightInd w:val="0"/>
              <w:spacing w:after="60"/>
              <w:jc w:val="both"/>
              <w:rPr>
                <w:rFonts w:eastAsia="Calibri"/>
                <w:color w:val="002060"/>
                <w:lang w:val="el-GR"/>
              </w:rPr>
            </w:pPr>
            <w:r w:rsidRPr="0052617D">
              <w:rPr>
                <w:rFonts w:eastAsia="Calibri"/>
                <w:color w:val="002060"/>
                <w:sz w:val="18"/>
                <w:szCs w:val="18"/>
                <w:lang w:val="el-GR"/>
              </w:rPr>
              <w:t>●</w:t>
            </w:r>
            <w:r>
              <w:rPr>
                <w:rFonts w:eastAsia="Calibri"/>
                <w:color w:val="002060"/>
                <w:lang w:val="el-GR"/>
              </w:rPr>
              <w:t xml:space="preserve"> Να μπορούν να υπολογίζουν την παρούσα αξία των αποζημιώσεων για ασφαλιστήρια συμβόλαια ασφαλίσεων ζωής, καθώς και </w:t>
            </w:r>
            <w:r w:rsidR="00B35BA3">
              <w:rPr>
                <w:rFonts w:eastAsia="Calibri"/>
                <w:color w:val="002060"/>
                <w:lang w:val="el-GR"/>
              </w:rPr>
              <w:t>τα ενιαία καθαρά ασφάλιστρα και τη διακύμανση των παρουσών αξιών σε συνεχή και διακριτό χρόνο, τόσο για σταθερό όσο και για μεταβλητό ύψος αποζημίωσης που είναι συνάρτηση του χρόνου.</w:t>
            </w:r>
          </w:p>
          <w:p w14:paraId="2F84E062" w14:textId="31037B24" w:rsidR="00B35BA3" w:rsidRDefault="00B35BA3" w:rsidP="0052617D">
            <w:pPr>
              <w:widowControl w:val="0"/>
              <w:autoSpaceDE w:val="0"/>
              <w:autoSpaceDN w:val="0"/>
              <w:adjustRightInd w:val="0"/>
              <w:spacing w:after="60"/>
              <w:jc w:val="both"/>
              <w:rPr>
                <w:rFonts w:eastAsia="Calibri"/>
                <w:color w:val="002060"/>
                <w:lang w:val="el-GR"/>
              </w:rPr>
            </w:pPr>
            <w:r w:rsidRPr="0052617D">
              <w:rPr>
                <w:rFonts w:eastAsia="Calibri"/>
                <w:color w:val="002060"/>
                <w:sz w:val="18"/>
                <w:szCs w:val="18"/>
                <w:lang w:val="el-GR"/>
              </w:rPr>
              <w:t>●</w:t>
            </w:r>
            <w:r>
              <w:rPr>
                <w:rFonts w:eastAsia="Calibri"/>
                <w:color w:val="002060"/>
                <w:lang w:val="el-GR"/>
              </w:rPr>
              <w:t xml:space="preserve"> Να  μπορούν να υπολογίζουν την παρούσα αξία των αποζημιώσεων για ασφαλιστήρια συμβόλαια ραντών ζωής, καθώς και τα ενιαία καθαρά ασφάλιστρα και τη διακύμανση των παρουσών αξιών σε συνεχή και διακριτό χρόνο, τόσο για σταθερό όσο και για μεταβλητό ύψος αποζημίωσης που είναι συνάρτηση του χρόνου.</w:t>
            </w:r>
          </w:p>
          <w:p w14:paraId="08881FCA" w14:textId="268C3B77" w:rsidR="00B35BA3" w:rsidRDefault="00B35BA3" w:rsidP="00B35BA3">
            <w:pPr>
              <w:widowControl w:val="0"/>
              <w:autoSpaceDE w:val="0"/>
              <w:autoSpaceDN w:val="0"/>
              <w:adjustRightInd w:val="0"/>
              <w:spacing w:after="60"/>
              <w:jc w:val="both"/>
              <w:rPr>
                <w:rFonts w:eastAsia="Calibri"/>
                <w:color w:val="002060"/>
                <w:lang w:val="el-GR"/>
              </w:rPr>
            </w:pPr>
            <w:r w:rsidRPr="0052617D">
              <w:rPr>
                <w:rFonts w:eastAsia="Calibri"/>
                <w:color w:val="002060"/>
                <w:sz w:val="18"/>
                <w:szCs w:val="18"/>
                <w:lang w:val="el-GR"/>
              </w:rPr>
              <w:t>●</w:t>
            </w:r>
            <w:r>
              <w:rPr>
                <w:rFonts w:eastAsia="Calibri"/>
                <w:color w:val="002060"/>
                <w:lang w:val="el-GR"/>
              </w:rPr>
              <w:t xml:space="preserve"> Να μπορούν να υπολογίζουν την παρούσα αξία των αποζημιώσεων για ασφαλιστήρια συμβόλαια  ραντών ζωής, καθώς και τα ενιαία καθαρά ασφάλιστρα σε διακριτό χρόνο όταν οι πληρωμές γίνονται σε κλασματικά υποδιαστήματα του έτους.</w:t>
            </w:r>
          </w:p>
          <w:p w14:paraId="35B77E07" w14:textId="78847A1E" w:rsidR="00B35BA3" w:rsidRDefault="00B35BA3" w:rsidP="00B35BA3">
            <w:pPr>
              <w:widowControl w:val="0"/>
              <w:autoSpaceDE w:val="0"/>
              <w:autoSpaceDN w:val="0"/>
              <w:adjustRightInd w:val="0"/>
              <w:spacing w:after="60"/>
              <w:jc w:val="both"/>
              <w:rPr>
                <w:rFonts w:eastAsia="Calibri"/>
                <w:color w:val="002060"/>
                <w:lang w:val="el-GR"/>
              </w:rPr>
            </w:pPr>
            <w:r w:rsidRPr="0052617D">
              <w:rPr>
                <w:rFonts w:eastAsia="Calibri"/>
                <w:color w:val="002060"/>
                <w:sz w:val="18"/>
                <w:szCs w:val="18"/>
                <w:lang w:val="el-GR"/>
              </w:rPr>
              <w:t>●</w:t>
            </w:r>
            <w:r>
              <w:rPr>
                <w:rFonts w:eastAsia="Calibri"/>
                <w:color w:val="002060"/>
                <w:sz w:val="18"/>
                <w:szCs w:val="18"/>
                <w:lang w:val="el-GR"/>
              </w:rPr>
              <w:t xml:space="preserve"> </w:t>
            </w:r>
            <w:r w:rsidRPr="00B35BA3">
              <w:rPr>
                <w:rFonts w:eastAsia="Calibri"/>
                <w:color w:val="002060"/>
                <w:lang w:val="el-GR"/>
              </w:rPr>
              <w:t xml:space="preserve">Να μπορούν να βρίσκουν </w:t>
            </w:r>
            <w:r>
              <w:rPr>
                <w:rFonts w:eastAsia="Calibri"/>
                <w:color w:val="002060"/>
                <w:lang w:val="el-GR"/>
              </w:rPr>
              <w:t>σχέσεις μεταξύ των ασφαλίστρων ασφαλίσεων ζωής, σχέσεις μεταξύ των ασφαλίστρων ραντών ζωής και σχέσεις μεταξύ των ασφαλίστρων ασφαλίσεων ζωής και ραντών ζωής τόσο σε συνεχή όσο και σε διακριτό χρόνο, και να μπορούν να χρησιμοποιούν αναδρομικές σχέσεις για τον υπολογισμό των ασφαλίστρων.</w:t>
            </w:r>
          </w:p>
          <w:p w14:paraId="0D4DC651" w14:textId="7724C92C" w:rsidR="00B35BA3" w:rsidRDefault="00B35BA3" w:rsidP="00B35BA3">
            <w:pPr>
              <w:widowControl w:val="0"/>
              <w:autoSpaceDE w:val="0"/>
              <w:autoSpaceDN w:val="0"/>
              <w:adjustRightInd w:val="0"/>
              <w:spacing w:after="60"/>
              <w:jc w:val="both"/>
              <w:rPr>
                <w:rFonts w:eastAsia="Calibri"/>
                <w:color w:val="002060"/>
                <w:lang w:val="el-GR"/>
              </w:rPr>
            </w:pPr>
            <w:r w:rsidRPr="0052617D">
              <w:rPr>
                <w:rFonts w:eastAsia="Calibri"/>
                <w:color w:val="002060"/>
                <w:sz w:val="18"/>
                <w:szCs w:val="18"/>
                <w:lang w:val="el-GR"/>
              </w:rPr>
              <w:t>●</w:t>
            </w:r>
            <w:r>
              <w:rPr>
                <w:rFonts w:eastAsia="Calibri"/>
                <w:color w:val="002060"/>
                <w:sz w:val="18"/>
                <w:szCs w:val="18"/>
                <w:lang w:val="el-GR"/>
              </w:rPr>
              <w:t xml:space="preserve"> </w:t>
            </w:r>
            <w:r w:rsidRPr="00B35BA3">
              <w:rPr>
                <w:rFonts w:eastAsia="Calibri"/>
                <w:color w:val="002060"/>
                <w:lang w:val="el-GR"/>
              </w:rPr>
              <w:t>Να μπορούν να χρησιμοποιού</w:t>
            </w:r>
            <w:r>
              <w:rPr>
                <w:rFonts w:eastAsia="Calibri"/>
                <w:color w:val="002060"/>
                <w:lang w:val="el-GR"/>
              </w:rPr>
              <w:t>ν τις τιμές των συναρτήσεων πινάκων θνησιμότητας σε συνδυασμό με υποθέσεις θνησιμότητας για κλασματικές ηλικίας για τον προσεγγιστικό υπολογισμό ασφαλίστρων ασφαλιστηρίων συμβολαίων ζωής και ραντών ζωής.</w:t>
            </w:r>
          </w:p>
          <w:p w14:paraId="59468549" w14:textId="7565091D" w:rsidR="00B35BA3" w:rsidRDefault="00B35BA3" w:rsidP="00B35BA3">
            <w:pPr>
              <w:widowControl w:val="0"/>
              <w:autoSpaceDE w:val="0"/>
              <w:autoSpaceDN w:val="0"/>
              <w:adjustRightInd w:val="0"/>
              <w:spacing w:after="60"/>
              <w:jc w:val="both"/>
              <w:rPr>
                <w:rFonts w:eastAsia="Calibri"/>
                <w:color w:val="002060"/>
                <w:lang w:val="el-GR"/>
              </w:rPr>
            </w:pPr>
            <w:r w:rsidRPr="0052617D">
              <w:rPr>
                <w:rFonts w:eastAsia="Calibri"/>
                <w:color w:val="002060"/>
                <w:sz w:val="18"/>
                <w:szCs w:val="18"/>
                <w:lang w:val="el-GR"/>
              </w:rPr>
              <w:t>●</w:t>
            </w:r>
            <w:r>
              <w:rPr>
                <w:rFonts w:eastAsia="Calibri"/>
                <w:color w:val="002060"/>
                <w:sz w:val="18"/>
                <w:szCs w:val="18"/>
                <w:lang w:val="el-GR"/>
              </w:rPr>
              <w:t xml:space="preserve"> </w:t>
            </w:r>
            <w:r w:rsidR="00632C03">
              <w:rPr>
                <w:rFonts w:eastAsia="Calibri"/>
                <w:color w:val="002060"/>
                <w:lang w:val="el-GR"/>
              </w:rPr>
              <w:t>Να μπορούν να υπολογίζουν την ολική ζημία του ασφαλιστή και τα περιοδικά ασφάλιστρα για ασφαλιστήρια συμβόλαια ζωής και συνταξιοδοτικά προγράμματα χωρίς έξοδα, τόσο για τη συνεχή όσο και για τη διακριτή περίπτωση.</w:t>
            </w:r>
          </w:p>
          <w:p w14:paraId="6693F1B0" w14:textId="77777777" w:rsidR="00632C03" w:rsidRDefault="00632C03" w:rsidP="00632C03">
            <w:pPr>
              <w:widowControl w:val="0"/>
              <w:autoSpaceDE w:val="0"/>
              <w:autoSpaceDN w:val="0"/>
              <w:adjustRightInd w:val="0"/>
              <w:spacing w:after="60"/>
              <w:jc w:val="both"/>
              <w:rPr>
                <w:rFonts w:eastAsia="Calibri"/>
                <w:color w:val="002060"/>
                <w:lang w:val="el-GR"/>
              </w:rPr>
            </w:pPr>
            <w:r w:rsidRPr="0052617D">
              <w:rPr>
                <w:rFonts w:eastAsia="Calibri"/>
                <w:color w:val="002060"/>
                <w:sz w:val="18"/>
                <w:szCs w:val="18"/>
                <w:lang w:val="el-GR"/>
              </w:rPr>
              <w:t>●</w:t>
            </w:r>
            <w:r>
              <w:rPr>
                <w:rFonts w:eastAsia="Calibri"/>
                <w:color w:val="002060"/>
                <w:sz w:val="18"/>
                <w:szCs w:val="18"/>
                <w:lang w:val="el-GR"/>
              </w:rPr>
              <w:t xml:space="preserve"> </w:t>
            </w:r>
            <w:r>
              <w:rPr>
                <w:rFonts w:eastAsia="Calibri"/>
                <w:color w:val="002060"/>
                <w:lang w:val="el-GR"/>
              </w:rPr>
              <w:t>Να μπορούν να υπολογίζουν τα μαθηματικά αποθεματικά χαρτοφυλακίων ασφαλιστηρίων συμβολαίων ζωής, τόσο για τη συνεχή όσο και για τη διακριτή περίπτωση.</w:t>
            </w:r>
          </w:p>
          <w:p w14:paraId="401B9C77" w14:textId="5B9CF05A" w:rsidR="00632C03" w:rsidRPr="00632C03" w:rsidRDefault="00632C03" w:rsidP="00B35BA3">
            <w:pPr>
              <w:widowControl w:val="0"/>
              <w:autoSpaceDE w:val="0"/>
              <w:autoSpaceDN w:val="0"/>
              <w:adjustRightInd w:val="0"/>
              <w:spacing w:after="60"/>
              <w:jc w:val="both"/>
              <w:rPr>
                <w:rFonts w:eastAsia="Calibri"/>
                <w:color w:val="002060"/>
                <w:lang w:val="el-GR"/>
              </w:rPr>
            </w:pPr>
          </w:p>
          <w:p w14:paraId="3F84E978" w14:textId="77777777" w:rsidR="00632C03" w:rsidRPr="00632C03" w:rsidRDefault="00632C03" w:rsidP="00B35BA3">
            <w:pPr>
              <w:widowControl w:val="0"/>
              <w:autoSpaceDE w:val="0"/>
              <w:autoSpaceDN w:val="0"/>
              <w:adjustRightInd w:val="0"/>
              <w:spacing w:after="60"/>
              <w:jc w:val="both"/>
              <w:rPr>
                <w:rFonts w:eastAsia="Calibri"/>
                <w:color w:val="002060"/>
                <w:lang w:val="el-GR"/>
              </w:rPr>
            </w:pPr>
          </w:p>
          <w:p w14:paraId="6D97EB38" w14:textId="77777777" w:rsidR="00B35BA3" w:rsidRDefault="00B35BA3" w:rsidP="0052617D">
            <w:pPr>
              <w:widowControl w:val="0"/>
              <w:autoSpaceDE w:val="0"/>
              <w:autoSpaceDN w:val="0"/>
              <w:adjustRightInd w:val="0"/>
              <w:spacing w:after="60"/>
              <w:jc w:val="both"/>
              <w:rPr>
                <w:rFonts w:eastAsia="Calibri"/>
                <w:color w:val="002060"/>
                <w:lang w:val="el-GR"/>
              </w:rPr>
            </w:pPr>
          </w:p>
          <w:p w14:paraId="46A45531" w14:textId="29650C46" w:rsidR="0052617D" w:rsidRPr="00E55866" w:rsidRDefault="0052617D" w:rsidP="009E375C">
            <w:pPr>
              <w:widowControl w:val="0"/>
              <w:autoSpaceDE w:val="0"/>
              <w:autoSpaceDN w:val="0"/>
              <w:adjustRightInd w:val="0"/>
              <w:spacing w:after="60"/>
              <w:rPr>
                <w:rFonts w:eastAsia="Calibri"/>
                <w:color w:val="002060"/>
                <w:lang w:val="el-GR"/>
              </w:rPr>
            </w:pPr>
          </w:p>
          <w:p w14:paraId="2F124930" w14:textId="77777777" w:rsidR="00544CAE" w:rsidRDefault="00544CAE" w:rsidP="009E375C">
            <w:pPr>
              <w:widowControl w:val="0"/>
              <w:autoSpaceDE w:val="0"/>
              <w:autoSpaceDN w:val="0"/>
              <w:adjustRightInd w:val="0"/>
              <w:spacing w:after="60"/>
              <w:rPr>
                <w:rFonts w:ascii="Calibri" w:eastAsia="Calibri" w:hAnsi="Calibri"/>
                <w:color w:val="002060"/>
                <w:sz w:val="22"/>
                <w:szCs w:val="22"/>
                <w:lang w:val="el-GR"/>
              </w:rPr>
            </w:pPr>
          </w:p>
          <w:p w14:paraId="56AC4C30" w14:textId="77777777" w:rsidR="00544CAE" w:rsidRDefault="00544CAE" w:rsidP="009E375C">
            <w:pPr>
              <w:widowControl w:val="0"/>
              <w:autoSpaceDE w:val="0"/>
              <w:autoSpaceDN w:val="0"/>
              <w:adjustRightInd w:val="0"/>
              <w:spacing w:after="60"/>
              <w:rPr>
                <w:rFonts w:ascii="Calibri" w:eastAsia="Calibri" w:hAnsi="Calibri"/>
                <w:color w:val="002060"/>
                <w:sz w:val="22"/>
                <w:szCs w:val="22"/>
                <w:lang w:val="el-GR"/>
              </w:rPr>
            </w:pPr>
          </w:p>
          <w:p w14:paraId="63B7FA2F" w14:textId="77777777" w:rsidR="00544CAE" w:rsidRDefault="00544CAE" w:rsidP="009E375C">
            <w:pPr>
              <w:widowControl w:val="0"/>
              <w:autoSpaceDE w:val="0"/>
              <w:autoSpaceDN w:val="0"/>
              <w:adjustRightInd w:val="0"/>
              <w:spacing w:after="60"/>
              <w:rPr>
                <w:rFonts w:ascii="Calibri" w:eastAsia="Calibri" w:hAnsi="Calibri"/>
                <w:color w:val="002060"/>
                <w:sz w:val="22"/>
                <w:szCs w:val="22"/>
                <w:lang w:val="el-GR"/>
              </w:rPr>
            </w:pPr>
          </w:p>
          <w:p w14:paraId="6A256DFA" w14:textId="2AF3BD75" w:rsidR="00F03B25" w:rsidRPr="00705AAD" w:rsidRDefault="009E375C" w:rsidP="009E375C">
            <w:pPr>
              <w:widowControl w:val="0"/>
              <w:autoSpaceDE w:val="0"/>
              <w:autoSpaceDN w:val="0"/>
              <w:adjustRightInd w:val="0"/>
              <w:spacing w:after="60"/>
              <w:rPr>
                <w:rFonts w:ascii="Calibri" w:hAnsi="Calibri" w:cs="Arial"/>
                <w:i/>
                <w:sz w:val="16"/>
                <w:szCs w:val="16"/>
                <w:lang w:val="el-GR"/>
              </w:rPr>
            </w:pPr>
            <w:r w:rsidRPr="009E375C">
              <w:rPr>
                <w:rFonts w:ascii="Calibri" w:eastAsia="Calibri" w:hAnsi="Calibri"/>
                <w:color w:val="002060"/>
                <w:sz w:val="22"/>
                <w:szCs w:val="22"/>
                <w:lang w:val="el-GR"/>
              </w:rPr>
              <w:t xml:space="preserve"> </w:t>
            </w:r>
          </w:p>
        </w:tc>
      </w:tr>
      <w:tr w:rsidR="000F4FD4" w:rsidRPr="00705AAD" w14:paraId="1F1DBBEA"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40F20104"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1E3D8A" w14:paraId="7B28F47F" w14:textId="77777777" w:rsidTr="00305D37">
        <w:tc>
          <w:tcPr>
            <w:tcW w:w="8472" w:type="dxa"/>
            <w:gridSpan w:val="2"/>
            <w:tcBorders>
              <w:top w:val="nil"/>
              <w:bottom w:val="nil"/>
            </w:tcBorders>
            <w:shd w:val="clear" w:color="auto" w:fill="DDD9C3" w:themeFill="background2" w:themeFillShade="E6"/>
          </w:tcPr>
          <w:p w14:paraId="52BEC218"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1D01908B"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6D38ADE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3274B49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423FC7F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23E7056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70C8175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473532C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5EEA275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57F49BD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5E0B290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6D32961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48B3C27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3337792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722F18D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13D9DEBC"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28427CEF"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19BF9DDD"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6717F43C"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1E3D8A" w14:paraId="2E738BB9" w14:textId="77777777" w:rsidTr="00305D37">
        <w:tc>
          <w:tcPr>
            <w:tcW w:w="8472" w:type="dxa"/>
            <w:gridSpan w:val="2"/>
            <w:tcBorders>
              <w:bottom w:val="single" w:sz="4" w:space="0" w:color="auto"/>
            </w:tcBorders>
          </w:tcPr>
          <w:p w14:paraId="0B60B402" w14:textId="77CC4411" w:rsidR="000F4FD4" w:rsidRDefault="000F4FD4" w:rsidP="00544CAE">
            <w:pPr>
              <w:widowControl w:val="0"/>
              <w:autoSpaceDE w:val="0"/>
              <w:autoSpaceDN w:val="0"/>
              <w:adjustRightInd w:val="0"/>
              <w:rPr>
                <w:rFonts w:ascii="Calibri" w:hAnsi="Calibri" w:cs="Arial"/>
                <w:i/>
                <w:sz w:val="16"/>
                <w:szCs w:val="16"/>
                <w:lang w:val="el-GR"/>
              </w:rPr>
            </w:pPr>
          </w:p>
          <w:p w14:paraId="7F45520A" w14:textId="5BD87E0C" w:rsidR="00544CAE" w:rsidRDefault="00CC08FE" w:rsidP="00544CAE">
            <w:pPr>
              <w:widowControl w:val="0"/>
              <w:autoSpaceDE w:val="0"/>
              <w:autoSpaceDN w:val="0"/>
              <w:adjustRightInd w:val="0"/>
              <w:rPr>
                <w:lang w:val="el-GR"/>
              </w:rPr>
            </w:pPr>
            <w:r w:rsidRPr="00CC08FE">
              <w:rPr>
                <w:lang w:val="el-GR"/>
              </w:rPr>
              <w:t>Αυτόνομη εργασία</w:t>
            </w:r>
          </w:p>
          <w:p w14:paraId="19E8D018" w14:textId="45F0ACD6" w:rsidR="00CC08FE" w:rsidRDefault="00CC08FE" w:rsidP="00544CAE">
            <w:pPr>
              <w:widowControl w:val="0"/>
              <w:autoSpaceDE w:val="0"/>
              <w:autoSpaceDN w:val="0"/>
              <w:adjustRightInd w:val="0"/>
              <w:rPr>
                <w:lang w:val="el-GR"/>
              </w:rPr>
            </w:pPr>
            <w:r>
              <w:rPr>
                <w:lang w:val="el-GR"/>
              </w:rPr>
              <w:t>Ομαδική εργασία</w:t>
            </w:r>
          </w:p>
          <w:p w14:paraId="3D235573" w14:textId="39FD3B32" w:rsidR="00CC08FE" w:rsidRDefault="00CC08FE" w:rsidP="00544CAE">
            <w:pPr>
              <w:widowControl w:val="0"/>
              <w:autoSpaceDE w:val="0"/>
              <w:autoSpaceDN w:val="0"/>
              <w:adjustRightInd w:val="0"/>
              <w:rPr>
                <w:lang w:val="el-GR"/>
              </w:rPr>
            </w:pPr>
            <w:r>
              <w:rPr>
                <w:lang w:val="el-GR"/>
              </w:rPr>
              <w:t>Εργασία σε διεπιστημονικό περιβάλλον</w:t>
            </w:r>
          </w:p>
          <w:p w14:paraId="3523DB62" w14:textId="77777777" w:rsidR="00581DFF" w:rsidRDefault="00581DFF" w:rsidP="00581DFF">
            <w:pPr>
              <w:widowControl w:val="0"/>
              <w:autoSpaceDE w:val="0"/>
              <w:autoSpaceDN w:val="0"/>
              <w:adjustRightInd w:val="0"/>
              <w:rPr>
                <w:lang w:val="el-GR"/>
              </w:rPr>
            </w:pPr>
            <w:r>
              <w:rPr>
                <w:lang w:val="el-GR"/>
              </w:rPr>
              <w:t>Αναζήτηση, ανάλυση και σύνθεση δεδομένων και πληροφοριών με τη χρήση των απαραίτητων τεχνολογιών</w:t>
            </w:r>
          </w:p>
          <w:p w14:paraId="5D2BC08B" w14:textId="77777777" w:rsidR="00544CAE" w:rsidRDefault="00544CAE" w:rsidP="00544CAE">
            <w:pPr>
              <w:widowControl w:val="0"/>
              <w:autoSpaceDE w:val="0"/>
              <w:autoSpaceDN w:val="0"/>
              <w:adjustRightInd w:val="0"/>
              <w:rPr>
                <w:rFonts w:ascii="Calibri" w:hAnsi="Calibri" w:cs="Arial"/>
                <w:i/>
                <w:sz w:val="16"/>
                <w:szCs w:val="16"/>
                <w:lang w:val="el-GR"/>
              </w:rPr>
            </w:pPr>
          </w:p>
          <w:p w14:paraId="3350665B" w14:textId="21693BE7" w:rsidR="00544CAE" w:rsidRPr="00705AAD" w:rsidRDefault="00544CAE" w:rsidP="00544CAE">
            <w:pPr>
              <w:widowControl w:val="0"/>
              <w:autoSpaceDE w:val="0"/>
              <w:autoSpaceDN w:val="0"/>
              <w:adjustRightInd w:val="0"/>
              <w:rPr>
                <w:rFonts w:ascii="Calibri" w:hAnsi="Calibri" w:cs="Arial"/>
                <w:i/>
                <w:sz w:val="16"/>
                <w:szCs w:val="16"/>
                <w:lang w:val="el-GR"/>
              </w:rPr>
            </w:pPr>
          </w:p>
        </w:tc>
      </w:tr>
    </w:tbl>
    <w:p w14:paraId="21C409CE"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78B8F641"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6ACC1452"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32347F9B"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231033DA"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3FA2042B"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4586B485"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5BC8366B"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2ADC9A7D"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6C1F6B4C"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C64442A"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7D97B4FA"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7E2EE40A"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67EF3CC1" w14:textId="77777777" w:rsidR="000F4FD4" w:rsidRPr="00705AAD" w:rsidRDefault="000F4FD4"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1E3D8A" w14:paraId="0FED2B7B" w14:textId="77777777" w:rsidTr="007673F3">
        <w:tc>
          <w:tcPr>
            <w:tcW w:w="8472" w:type="dxa"/>
          </w:tcPr>
          <w:p w14:paraId="31312158" w14:textId="77777777" w:rsidR="00E55866" w:rsidRDefault="0026235E" w:rsidP="00E55866">
            <w:pPr>
              <w:jc w:val="both"/>
              <w:rPr>
                <w:lang w:val="el-GR"/>
              </w:rPr>
            </w:pPr>
            <w:r w:rsidRPr="0026235E">
              <w:rPr>
                <w:lang w:val="el-GR"/>
              </w:rPr>
              <w:t xml:space="preserve">• Κατανομές και πίνακες επιβίωσης. Συνάρτηση επιβίωσης, υπολειπόμενος και ακέραιος υπολειπόμενος χρόνος ζωής ενός ατόμου. Ένταση και άλλοι δείκτες θνησιμότητας. Υπολογισμός της συνάρτησης κατανομής και των ροπών του υπολειπόμενου και του ακέραιου υπολειπόμενου χρόνου ζωής. Πιθανοθεωρητικά πρότυπα επιβίωσης και αναλυτικές κατανομές του υπολειπόμενου χρόνου ζωής. Οι κατανομές θνησιμότητας των </w:t>
            </w:r>
            <w:r>
              <w:t>De</w:t>
            </w:r>
            <w:r w:rsidRPr="0026235E">
              <w:rPr>
                <w:lang w:val="el-GR"/>
              </w:rPr>
              <w:t xml:space="preserve"> </w:t>
            </w:r>
            <w:r>
              <w:t>Moivre</w:t>
            </w:r>
            <w:r w:rsidRPr="0026235E">
              <w:rPr>
                <w:lang w:val="el-GR"/>
              </w:rPr>
              <w:t xml:space="preserve">, </w:t>
            </w:r>
            <w:r>
              <w:t>Gompertz</w:t>
            </w:r>
            <w:r w:rsidRPr="0026235E">
              <w:rPr>
                <w:lang w:val="el-GR"/>
              </w:rPr>
              <w:t xml:space="preserve">, </w:t>
            </w:r>
            <w:r>
              <w:t>Makeham</w:t>
            </w:r>
            <w:r w:rsidRPr="0026235E">
              <w:rPr>
                <w:lang w:val="el-GR"/>
              </w:rPr>
              <w:t xml:space="preserve"> και </w:t>
            </w:r>
            <w:r>
              <w:t>Weibull</w:t>
            </w:r>
            <w:r w:rsidRPr="0026235E">
              <w:rPr>
                <w:lang w:val="el-GR"/>
              </w:rPr>
              <w:t xml:space="preserve">. Πίνακες επιβίωσης και σχέση των συναρτήσεων των πινάκων με τη συνάρτηση επιβίωσης. Χαρακτηριστικά πινάκων επιβίωσης. Υποθέσεις θνησιμότητας για κλασματικές ηλικίες. Υπόθεση ομοιόμορφης κατανομής θανάτων (μέθοδος γραμμικής παρεμβολής), υπόθεση σταθερής έντασης θνησιμότητας (μέθοδος εκθετικής παρεμβολής), υπόθεση </w:t>
            </w:r>
            <w:r>
              <w:t>Balducci</w:t>
            </w:r>
            <w:r w:rsidRPr="0026235E">
              <w:rPr>
                <w:lang w:val="el-GR"/>
              </w:rPr>
              <w:t xml:space="preserve"> (μέθοδος αρμονικής παρεμβολής). Προσεγγίσεις δεικτών θνησιμότητας.</w:t>
            </w:r>
          </w:p>
          <w:p w14:paraId="523DC385" w14:textId="77777777" w:rsidR="00E55866" w:rsidRDefault="0026235E" w:rsidP="00E55866">
            <w:pPr>
              <w:jc w:val="both"/>
              <w:rPr>
                <w:lang w:val="el-GR"/>
              </w:rPr>
            </w:pPr>
            <w:r w:rsidRPr="0026235E">
              <w:rPr>
                <w:lang w:val="el-GR"/>
              </w:rPr>
              <w:t xml:space="preserve"> • Είδη ατομικής ασφάλισης ζωής λόγω θανάτου. Παρούσες αξίες ασφαλίσεων ως τυχαίες μεταβλητές. Μέση τιμή (αναλογιστική παρούσα αξία), ροπές και συνδιακύμανση παρουσών αξιών. Ασφαλίσεις πληρωτέες άμεσα (τη στιγμή του θανάτου του ασφαλισμένου, συνεχείς ασφαλίσεις) και ασφαλίσεις πληρωτέες στο τέλος του έτους (του θανάτου του ασφαλισμένου, διακριτές ασφαλίσεις). Αναδρομικές σχέσεις υπολογισμού καθαρών ενιαίων ασφαλίστρων, παράγωγοι και διαφορικές εξισώσεις τους. Προσεγγιστικές σχέσεις μεταξύ των ασφαλίστρων.</w:t>
            </w:r>
          </w:p>
          <w:p w14:paraId="7EB2D595" w14:textId="77777777" w:rsidR="00E55866" w:rsidRDefault="0026235E" w:rsidP="00E55866">
            <w:pPr>
              <w:jc w:val="both"/>
              <w:rPr>
                <w:lang w:val="el-GR"/>
              </w:rPr>
            </w:pPr>
            <w:r w:rsidRPr="0026235E">
              <w:rPr>
                <w:lang w:val="el-GR"/>
              </w:rPr>
              <w:t xml:space="preserve"> • Είδη ατομικής ασφάλισης ζωής λόγω επιβίωσης – ράντες ζωής. Αναλογιστικές παρούσες αξίες και διακυμάνσεις ράντων. Τμηματικά καταβαλλόμενες ράντες και ράντες με μεταβλητούς όρους. Συνεχείς και διακριτές ράντες. Σχέσεις μεταξύ ράντων και ασφαλίσεων και προσεγγιστικοί υπολογισμοί ενιαίων ασφαλίστρων για ράντες και τμηματικά καταβαλλόμενες ράντες. Αναδρομικές και διαφορικές σχέσεις. Ανισότητες μεταξύ ασφαλίστρων.</w:t>
            </w:r>
          </w:p>
          <w:p w14:paraId="6EDFF49D" w14:textId="2DB8C43E" w:rsidR="00533AA9" w:rsidRPr="0026235E" w:rsidRDefault="0026235E" w:rsidP="00E55866">
            <w:pPr>
              <w:jc w:val="both"/>
              <w:rPr>
                <w:lang w:val="el-GR"/>
              </w:rPr>
            </w:pPr>
            <w:r w:rsidRPr="0026235E">
              <w:rPr>
                <w:lang w:val="el-GR"/>
              </w:rPr>
              <w:lastRenderedPageBreak/>
              <w:t xml:space="preserve"> • Ολική ζημιά ασφαλιστή. Ετήσια και τμηματικώς καταβαλλόμενα ετήσια ασφάλιστρα (περιοδικά ασφάλιστρα). Διακυμάνσεις, σχέσεις και προσεγγίσεις για τις διάφορες κατηγορίες τμηματικών ασφαλίστρων, διαφορικές και αναδρομικές σχέσεις τμηματικών ασφαλίστρων. Ασφαλίσεις με επιστροφή ασφαλίστρου, τυχαίο επιτόκιο. • Μαθηματικά αποθέματα (αποθεματικά). Προοπτικά, αναδρομικά, διαδοχικά και ειδικοί τύποι αποθεματικών. Πλήρως συνεχή, ημισυνεχή και διακριτά αποθεματικά. Αποθεματικά για τμηματικά ασφάλιστρα, αποθεματικά για κλασματικές διάρκειες. Αναδρομικές και προσεγγιστικές σχέσεις. Διαφορικές εξισώσεις. Κεφάλαιο κινδύνου. Θεωρήματα </w:t>
            </w:r>
            <w:r>
              <w:t>Lidstone</w:t>
            </w:r>
            <w:r w:rsidRPr="0026235E">
              <w:rPr>
                <w:lang w:val="el-GR"/>
              </w:rPr>
              <w:t xml:space="preserve"> και </w:t>
            </w:r>
            <w:r>
              <w:t>Hattendorf</w:t>
            </w:r>
            <w:r w:rsidRPr="0026235E">
              <w:rPr>
                <w:lang w:val="el-GR"/>
              </w:rPr>
              <w:t>.</w:t>
            </w:r>
          </w:p>
          <w:p w14:paraId="28E02E37" w14:textId="77777777" w:rsidR="00544CAE" w:rsidRDefault="00544CAE" w:rsidP="00544CAE">
            <w:pPr>
              <w:rPr>
                <w:rFonts w:ascii="Calibri" w:eastAsia="Calibri" w:hAnsi="Calibri"/>
                <w:iCs/>
                <w:color w:val="002060"/>
                <w:sz w:val="22"/>
                <w:szCs w:val="22"/>
                <w:lang w:val="el-GR"/>
              </w:rPr>
            </w:pPr>
          </w:p>
          <w:p w14:paraId="7B2651E7" w14:textId="77777777" w:rsidR="00544CAE" w:rsidRDefault="00544CAE" w:rsidP="00544CAE">
            <w:pPr>
              <w:rPr>
                <w:rFonts w:ascii="Calibri" w:eastAsia="Calibri" w:hAnsi="Calibri"/>
                <w:iCs/>
                <w:color w:val="002060"/>
                <w:sz w:val="22"/>
                <w:szCs w:val="22"/>
                <w:lang w:val="el-GR"/>
              </w:rPr>
            </w:pPr>
          </w:p>
          <w:p w14:paraId="769A973F" w14:textId="77777777" w:rsidR="00544CAE" w:rsidRDefault="00544CAE" w:rsidP="00544CAE">
            <w:pPr>
              <w:rPr>
                <w:rFonts w:ascii="Calibri" w:eastAsia="Calibri" w:hAnsi="Calibri"/>
                <w:iCs/>
                <w:color w:val="002060"/>
                <w:sz w:val="22"/>
                <w:szCs w:val="22"/>
                <w:lang w:val="el-GR"/>
              </w:rPr>
            </w:pPr>
          </w:p>
          <w:p w14:paraId="2CEDAD50" w14:textId="77777777" w:rsidR="00544CAE" w:rsidRDefault="00544CAE" w:rsidP="00544CAE">
            <w:pPr>
              <w:rPr>
                <w:rFonts w:ascii="Calibri" w:eastAsia="Calibri" w:hAnsi="Calibri"/>
                <w:iCs/>
                <w:color w:val="002060"/>
                <w:sz w:val="22"/>
                <w:szCs w:val="22"/>
                <w:lang w:val="el-GR"/>
              </w:rPr>
            </w:pPr>
          </w:p>
          <w:p w14:paraId="74662D10" w14:textId="77777777" w:rsidR="00544CAE" w:rsidRDefault="00544CAE" w:rsidP="00544CAE">
            <w:pPr>
              <w:rPr>
                <w:rFonts w:ascii="Calibri" w:eastAsia="Calibri" w:hAnsi="Calibri"/>
                <w:iCs/>
                <w:color w:val="002060"/>
                <w:sz w:val="22"/>
                <w:szCs w:val="22"/>
                <w:lang w:val="el-GR"/>
              </w:rPr>
            </w:pPr>
          </w:p>
          <w:p w14:paraId="1D72C2B1" w14:textId="77777777" w:rsidR="00544CAE" w:rsidRDefault="00544CAE" w:rsidP="00544CAE">
            <w:pPr>
              <w:rPr>
                <w:rFonts w:ascii="Calibri" w:eastAsia="Calibri" w:hAnsi="Calibri"/>
                <w:iCs/>
                <w:color w:val="002060"/>
                <w:sz w:val="22"/>
                <w:szCs w:val="22"/>
                <w:lang w:val="el-GR"/>
              </w:rPr>
            </w:pPr>
          </w:p>
          <w:p w14:paraId="61994670" w14:textId="77777777" w:rsidR="00544CAE" w:rsidRDefault="00544CAE" w:rsidP="00544CAE">
            <w:pPr>
              <w:rPr>
                <w:rFonts w:ascii="Calibri" w:eastAsia="Calibri" w:hAnsi="Calibri"/>
                <w:iCs/>
                <w:color w:val="002060"/>
                <w:sz w:val="22"/>
                <w:szCs w:val="22"/>
                <w:lang w:val="el-GR"/>
              </w:rPr>
            </w:pPr>
          </w:p>
          <w:p w14:paraId="148A124F" w14:textId="56A3B666" w:rsidR="00544CAE" w:rsidRPr="008646C6" w:rsidRDefault="00544CAE" w:rsidP="00544CAE">
            <w:pPr>
              <w:rPr>
                <w:rFonts w:ascii="Calibri" w:hAnsi="Calibri" w:cs="Arial"/>
                <w:color w:val="002060"/>
                <w:sz w:val="20"/>
                <w:szCs w:val="20"/>
                <w:lang w:val="el-GR"/>
              </w:rPr>
            </w:pPr>
          </w:p>
        </w:tc>
      </w:tr>
    </w:tbl>
    <w:p w14:paraId="18A9CBCD" w14:textId="77777777" w:rsidR="00271F7D" w:rsidRPr="008646C6"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44FC4134" w14:textId="6759FF82" w:rsidR="00271F7D" w:rsidRPr="008646C6" w:rsidRDefault="00271F7D">
      <w:pPr>
        <w:rPr>
          <w:rFonts w:ascii="Calibri" w:hAnsi="Calibri" w:cs="Arial"/>
          <w:b/>
          <w:color w:val="000000"/>
          <w:sz w:val="22"/>
          <w:szCs w:val="22"/>
          <w:lang w:val="el-GR"/>
        </w:rPr>
      </w:pPr>
    </w:p>
    <w:p w14:paraId="1C5E378B"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B31A2D" w14:paraId="37F500AD" w14:textId="77777777" w:rsidTr="007673F3">
        <w:tc>
          <w:tcPr>
            <w:tcW w:w="3306" w:type="dxa"/>
            <w:shd w:val="clear" w:color="auto" w:fill="DDD9C3" w:themeFill="background2" w:themeFillShade="E6"/>
          </w:tcPr>
          <w:p w14:paraId="65858631"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4E79F691" w14:textId="77777777" w:rsidR="000F4FD4" w:rsidRPr="00C267DD" w:rsidRDefault="006605D9" w:rsidP="006605D9">
            <w:pPr>
              <w:spacing w:after="200" w:line="276" w:lineRule="auto"/>
              <w:rPr>
                <w:rFonts w:ascii="Calibri" w:eastAsia="Calibri" w:hAnsi="Calibri"/>
                <w:iCs/>
                <w:color w:val="002060"/>
                <w:sz w:val="22"/>
                <w:szCs w:val="22"/>
                <w:lang w:val="el-GR"/>
              </w:rPr>
            </w:pPr>
            <w:r w:rsidRPr="00C267DD">
              <w:rPr>
                <w:rFonts w:ascii="Calibri" w:eastAsia="Calibri" w:hAnsi="Calibri"/>
                <w:iCs/>
                <w:color w:val="002060"/>
                <w:sz w:val="22"/>
                <w:szCs w:val="22"/>
                <w:lang w:val="el-GR"/>
              </w:rPr>
              <w:t xml:space="preserve">Διαλέξεις σε αίθουσα διδασκαλίας </w:t>
            </w:r>
          </w:p>
        </w:tc>
      </w:tr>
      <w:tr w:rsidR="000F4FD4" w:rsidRPr="007F4904" w14:paraId="34206934" w14:textId="77777777" w:rsidTr="007673F3">
        <w:tc>
          <w:tcPr>
            <w:tcW w:w="3306" w:type="dxa"/>
            <w:shd w:val="clear" w:color="auto" w:fill="DDD9C3" w:themeFill="background2" w:themeFillShade="E6"/>
          </w:tcPr>
          <w:p w14:paraId="4D27CB2F"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0AAA97DA" w14:textId="3A755298" w:rsidR="00E73A85" w:rsidRPr="007F4904" w:rsidRDefault="00E73A85" w:rsidP="00E73A85">
            <w:pPr>
              <w:pStyle w:val="Default"/>
              <w:rPr>
                <w:color w:val="002060"/>
                <w:sz w:val="22"/>
                <w:szCs w:val="22"/>
              </w:rPr>
            </w:pPr>
            <w:r w:rsidRPr="007F4904">
              <w:rPr>
                <w:color w:val="002060"/>
                <w:sz w:val="22"/>
                <w:szCs w:val="22"/>
              </w:rPr>
              <w:t>Υποστήριξη Μαθησιακής διαδικασίας μέσω της ηλεκτρονικής πλατφόρμας e-class</w:t>
            </w:r>
            <w:r w:rsidR="007F4904" w:rsidRPr="007F4904">
              <w:rPr>
                <w:color w:val="002060"/>
                <w:sz w:val="22"/>
                <w:szCs w:val="22"/>
              </w:rPr>
              <w:t>.</w:t>
            </w:r>
            <w:r w:rsidRPr="007F4904">
              <w:rPr>
                <w:color w:val="002060"/>
                <w:sz w:val="22"/>
                <w:szCs w:val="22"/>
              </w:rPr>
              <w:t xml:space="preserve"> </w:t>
            </w:r>
          </w:p>
          <w:p w14:paraId="0FF80F72" w14:textId="6726A2ED" w:rsidR="007F4904" w:rsidRPr="007F4904" w:rsidRDefault="007F4904" w:rsidP="00E73A85">
            <w:pPr>
              <w:pStyle w:val="Default"/>
              <w:rPr>
                <w:color w:val="002060"/>
                <w:sz w:val="22"/>
                <w:szCs w:val="22"/>
                <w:lang w:val="en-US"/>
              </w:rPr>
            </w:pPr>
            <w:r w:rsidRPr="007F4904">
              <w:rPr>
                <w:rFonts w:cs="Arial"/>
                <w:color w:val="002060"/>
                <w:sz w:val="22"/>
                <w:szCs w:val="22"/>
              </w:rPr>
              <w:t>Ηλεκτρονική επικοινωνία με φοιτητές</w:t>
            </w:r>
            <w:r w:rsidRPr="007F4904">
              <w:rPr>
                <w:rFonts w:cs="Arial"/>
                <w:color w:val="002060"/>
                <w:sz w:val="22"/>
                <w:szCs w:val="22"/>
                <w:lang w:val="en-US"/>
              </w:rPr>
              <w:t>.</w:t>
            </w:r>
          </w:p>
          <w:p w14:paraId="4D904E80" w14:textId="77777777" w:rsidR="000F4FD4" w:rsidRPr="00C267DD" w:rsidRDefault="000F4FD4" w:rsidP="007673F3">
            <w:pPr>
              <w:rPr>
                <w:rFonts w:ascii="Calibri" w:hAnsi="Calibri" w:cs="Arial"/>
                <w:b/>
                <w:color w:val="002060"/>
                <w:sz w:val="22"/>
                <w:szCs w:val="22"/>
                <w:lang w:val="el-GR"/>
              </w:rPr>
            </w:pPr>
          </w:p>
        </w:tc>
      </w:tr>
      <w:tr w:rsidR="000F4FD4" w:rsidRPr="00705AAD" w14:paraId="25F5C698" w14:textId="77777777" w:rsidTr="007673F3">
        <w:tc>
          <w:tcPr>
            <w:tcW w:w="3306" w:type="dxa"/>
            <w:shd w:val="clear" w:color="auto" w:fill="DDD9C3" w:themeFill="background2" w:themeFillShade="E6"/>
          </w:tcPr>
          <w:p w14:paraId="5A70CE86"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34AFD454"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587178B3"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1430513C" w14:textId="77777777" w:rsidR="000F4FD4" w:rsidRPr="00705AAD" w:rsidRDefault="000F4FD4" w:rsidP="007673F3">
            <w:pPr>
              <w:jc w:val="both"/>
              <w:rPr>
                <w:rFonts w:ascii="Calibri" w:hAnsi="Calibri" w:cs="Arial"/>
                <w:i/>
                <w:sz w:val="16"/>
                <w:szCs w:val="16"/>
                <w:lang w:val="el-GR"/>
              </w:rPr>
            </w:pPr>
          </w:p>
          <w:p w14:paraId="1CA914FC"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27DCA9D3" w14:textId="77777777" w:rsidTr="007673F3">
              <w:tc>
                <w:tcPr>
                  <w:tcW w:w="2467" w:type="dxa"/>
                  <w:shd w:val="clear" w:color="auto" w:fill="DDD9C3" w:themeFill="background2" w:themeFillShade="E6"/>
                  <w:vAlign w:val="center"/>
                </w:tcPr>
                <w:p w14:paraId="1D96C524"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Δραστηριότητα</w:t>
                  </w:r>
                </w:p>
              </w:tc>
              <w:tc>
                <w:tcPr>
                  <w:tcW w:w="2468" w:type="dxa"/>
                  <w:shd w:val="clear" w:color="auto" w:fill="DDD9C3" w:themeFill="background2" w:themeFillShade="E6"/>
                  <w:vAlign w:val="center"/>
                </w:tcPr>
                <w:p w14:paraId="3C15B565"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Φόρτος Εργασίας Εξαμήνου</w:t>
                  </w:r>
                </w:p>
              </w:tc>
            </w:tr>
            <w:tr w:rsidR="000F4FD4" w:rsidRPr="00705AAD" w14:paraId="4540C9EE" w14:textId="77777777" w:rsidTr="007673F3">
              <w:tc>
                <w:tcPr>
                  <w:tcW w:w="2467" w:type="dxa"/>
                </w:tcPr>
                <w:p w14:paraId="576BDE17" w14:textId="618F49D6" w:rsidR="000F4FD4" w:rsidRPr="001E3D8A" w:rsidRDefault="00CC08FE" w:rsidP="007673F3">
                  <w:pPr>
                    <w:rPr>
                      <w:rFonts w:asciiTheme="minorHAnsi" w:hAnsiTheme="minorHAnsi"/>
                      <w:iCs/>
                      <w:color w:val="002060"/>
                      <w:sz w:val="22"/>
                      <w:szCs w:val="22"/>
                      <w:lang w:val="el-GR"/>
                    </w:rPr>
                  </w:pPr>
                  <w:r w:rsidRPr="001E3D8A">
                    <w:rPr>
                      <w:rFonts w:asciiTheme="minorHAnsi" w:hAnsiTheme="minorHAnsi"/>
                      <w:iCs/>
                      <w:color w:val="002060"/>
                      <w:sz w:val="22"/>
                      <w:szCs w:val="22"/>
                      <w:lang w:val="el-GR"/>
                    </w:rPr>
                    <w:t>Διαλέξεις</w:t>
                  </w:r>
                </w:p>
              </w:tc>
              <w:tc>
                <w:tcPr>
                  <w:tcW w:w="2468" w:type="dxa"/>
                </w:tcPr>
                <w:p w14:paraId="6033FB69" w14:textId="20F30BF1" w:rsidR="000F4FD4" w:rsidRPr="00CC08FE" w:rsidRDefault="001E3D8A" w:rsidP="007673F3">
                  <w:pPr>
                    <w:jc w:val="center"/>
                    <w:rPr>
                      <w:rFonts w:ascii="Calibri" w:hAnsi="Calibri" w:cs="Arial"/>
                      <w:color w:val="002060"/>
                      <w:sz w:val="22"/>
                      <w:szCs w:val="22"/>
                      <w:lang w:val="el-GR"/>
                    </w:rPr>
                  </w:pPr>
                  <w:r>
                    <w:rPr>
                      <w:rFonts w:ascii="Calibri" w:hAnsi="Calibri" w:cs="Arial"/>
                      <w:color w:val="002060"/>
                      <w:sz w:val="22"/>
                      <w:szCs w:val="22"/>
                      <w:lang w:val="el-GR"/>
                    </w:rPr>
                    <w:t>52</w:t>
                  </w:r>
                </w:p>
              </w:tc>
            </w:tr>
            <w:tr w:rsidR="000F4FD4" w:rsidRPr="00E73A85" w14:paraId="71788F0C" w14:textId="77777777" w:rsidTr="007673F3">
              <w:tc>
                <w:tcPr>
                  <w:tcW w:w="2467" w:type="dxa"/>
                  <w:shd w:val="clear" w:color="auto" w:fill="auto"/>
                </w:tcPr>
                <w:p w14:paraId="2C6E0ACA" w14:textId="4CFC1680" w:rsidR="000F4FD4" w:rsidRPr="00C267DD" w:rsidRDefault="00CC08FE" w:rsidP="007673F3">
                  <w:pPr>
                    <w:rPr>
                      <w:rFonts w:ascii="Calibri" w:hAnsi="Calibri"/>
                      <w:iCs/>
                      <w:color w:val="002060"/>
                      <w:sz w:val="22"/>
                      <w:szCs w:val="22"/>
                      <w:lang w:val="el-GR"/>
                    </w:rPr>
                  </w:pPr>
                  <w:r>
                    <w:rPr>
                      <w:rFonts w:ascii="Calibri" w:hAnsi="Calibri"/>
                      <w:iCs/>
                      <w:color w:val="002060"/>
                      <w:sz w:val="22"/>
                      <w:szCs w:val="22"/>
                      <w:lang w:val="el-GR"/>
                    </w:rPr>
                    <w:t>Αυτοτελής μ</w:t>
                  </w:r>
                  <w:bookmarkStart w:id="1" w:name="_GoBack"/>
                  <w:bookmarkEnd w:id="1"/>
                  <w:r>
                    <w:rPr>
                      <w:rFonts w:ascii="Calibri" w:hAnsi="Calibri"/>
                      <w:iCs/>
                      <w:color w:val="002060"/>
                      <w:sz w:val="22"/>
                      <w:szCs w:val="22"/>
                      <w:lang w:val="el-GR"/>
                    </w:rPr>
                    <w:t>άθηση</w:t>
                  </w:r>
                </w:p>
              </w:tc>
              <w:tc>
                <w:tcPr>
                  <w:tcW w:w="2468" w:type="dxa"/>
                </w:tcPr>
                <w:p w14:paraId="14A0A221" w14:textId="180CB041" w:rsidR="000F4FD4" w:rsidRPr="00C267DD" w:rsidRDefault="001E3D8A" w:rsidP="00280806">
                  <w:pPr>
                    <w:jc w:val="center"/>
                    <w:rPr>
                      <w:rFonts w:ascii="Calibri" w:hAnsi="Calibri" w:cs="Arial"/>
                      <w:color w:val="002060"/>
                      <w:sz w:val="22"/>
                      <w:szCs w:val="22"/>
                      <w:lang w:val="el-GR"/>
                    </w:rPr>
                  </w:pPr>
                  <w:r>
                    <w:rPr>
                      <w:rFonts w:ascii="Calibri" w:hAnsi="Calibri" w:cs="Arial"/>
                      <w:color w:val="002060"/>
                      <w:sz w:val="22"/>
                      <w:szCs w:val="22"/>
                      <w:lang w:val="el-GR"/>
                    </w:rPr>
                    <w:t>98</w:t>
                  </w:r>
                </w:p>
              </w:tc>
            </w:tr>
            <w:tr w:rsidR="000F4FD4" w:rsidRPr="00705AAD" w14:paraId="04364CD3" w14:textId="77777777" w:rsidTr="007673F3">
              <w:tc>
                <w:tcPr>
                  <w:tcW w:w="2467" w:type="dxa"/>
                </w:tcPr>
                <w:p w14:paraId="631E35C8" w14:textId="77777777" w:rsidR="000F4FD4" w:rsidRPr="00C267DD" w:rsidRDefault="000F4FD4" w:rsidP="007673F3">
                  <w:pPr>
                    <w:rPr>
                      <w:rFonts w:ascii="Calibri" w:hAnsi="Calibri"/>
                      <w:iCs/>
                      <w:color w:val="002060"/>
                      <w:sz w:val="22"/>
                      <w:szCs w:val="22"/>
                      <w:lang w:val="el-GR"/>
                    </w:rPr>
                  </w:pPr>
                  <w:r w:rsidRPr="00C267DD">
                    <w:rPr>
                      <w:rFonts w:ascii="Calibri" w:hAnsi="Calibri"/>
                      <w:iCs/>
                      <w:color w:val="002060"/>
                      <w:sz w:val="22"/>
                      <w:szCs w:val="22"/>
                      <w:lang w:val="el-GR"/>
                    </w:rPr>
                    <w:t>Σύνολο</w:t>
                  </w:r>
                  <w:r w:rsidRPr="00C267DD">
                    <w:rPr>
                      <w:rFonts w:ascii="Calibri" w:hAnsi="Calibri"/>
                      <w:iCs/>
                      <w:color w:val="002060"/>
                      <w:sz w:val="22"/>
                      <w:szCs w:val="22"/>
                    </w:rPr>
                    <w:t xml:space="preserve"> </w:t>
                  </w:r>
                  <w:r w:rsidRPr="00C267DD">
                    <w:rPr>
                      <w:rFonts w:ascii="Calibri" w:hAnsi="Calibri"/>
                      <w:iCs/>
                      <w:color w:val="002060"/>
                      <w:sz w:val="22"/>
                      <w:szCs w:val="22"/>
                      <w:lang w:val="el-GR"/>
                    </w:rPr>
                    <w:t>Μαθήματος</w:t>
                  </w:r>
                  <w:r w:rsidRPr="00C267DD">
                    <w:rPr>
                      <w:rFonts w:ascii="Calibri" w:hAnsi="Calibri"/>
                      <w:iCs/>
                      <w:color w:val="002060"/>
                      <w:sz w:val="22"/>
                      <w:szCs w:val="22"/>
                    </w:rPr>
                    <w:t xml:space="preserve"> </w:t>
                  </w:r>
                </w:p>
              </w:tc>
              <w:tc>
                <w:tcPr>
                  <w:tcW w:w="2468" w:type="dxa"/>
                  <w:vAlign w:val="center"/>
                </w:tcPr>
                <w:p w14:paraId="1902319F" w14:textId="77E2BB3B" w:rsidR="000F4FD4" w:rsidRPr="000253AE" w:rsidRDefault="00CC08FE" w:rsidP="00280806">
                  <w:pPr>
                    <w:jc w:val="center"/>
                    <w:rPr>
                      <w:rFonts w:ascii="Calibri" w:hAnsi="Calibri" w:cs="Arial"/>
                      <w:b/>
                      <w:color w:val="002060"/>
                      <w:sz w:val="22"/>
                      <w:szCs w:val="22"/>
                      <w:lang w:val="el-GR"/>
                    </w:rPr>
                  </w:pPr>
                  <w:r w:rsidRPr="00CC08FE">
                    <w:rPr>
                      <w:rFonts w:ascii="Calibri" w:hAnsi="Calibri" w:cs="Arial"/>
                      <w:b/>
                      <w:color w:val="002060"/>
                      <w:sz w:val="22"/>
                      <w:szCs w:val="22"/>
                      <w:lang w:val="el-GR"/>
                    </w:rPr>
                    <w:t>150</w:t>
                  </w:r>
                </w:p>
              </w:tc>
            </w:tr>
          </w:tbl>
          <w:p w14:paraId="322DE6A3" w14:textId="77777777" w:rsidR="000F4FD4" w:rsidRPr="00705AAD" w:rsidRDefault="000F4FD4" w:rsidP="007673F3">
            <w:pPr>
              <w:rPr>
                <w:rFonts w:ascii="Tahoma" w:hAnsi="Tahoma" w:cs="Tahoma"/>
              </w:rPr>
            </w:pPr>
          </w:p>
        </w:tc>
      </w:tr>
      <w:tr w:rsidR="000F4FD4" w:rsidRPr="00FB597C" w14:paraId="2A5744D5" w14:textId="77777777" w:rsidTr="007673F3">
        <w:tc>
          <w:tcPr>
            <w:tcW w:w="3306" w:type="dxa"/>
          </w:tcPr>
          <w:p w14:paraId="60D084B7"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3A8055F8"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686EDDBD" w14:textId="77777777" w:rsidR="000F4FD4" w:rsidRPr="00705AAD" w:rsidRDefault="000F4FD4" w:rsidP="007673F3">
            <w:pPr>
              <w:jc w:val="both"/>
              <w:rPr>
                <w:rFonts w:ascii="Calibri" w:hAnsi="Calibri" w:cs="Arial"/>
                <w:i/>
                <w:sz w:val="16"/>
                <w:szCs w:val="16"/>
                <w:lang w:val="el-GR"/>
              </w:rPr>
            </w:pPr>
          </w:p>
          <w:p w14:paraId="003D82EA"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2D40A06" w14:textId="77777777" w:rsidR="000F4FD4" w:rsidRPr="00705AAD" w:rsidRDefault="000F4FD4" w:rsidP="007673F3">
            <w:pPr>
              <w:jc w:val="both"/>
              <w:rPr>
                <w:rFonts w:ascii="Calibri" w:hAnsi="Calibri" w:cs="Arial"/>
                <w:i/>
                <w:sz w:val="16"/>
                <w:szCs w:val="16"/>
                <w:lang w:val="el-GR"/>
              </w:rPr>
            </w:pPr>
          </w:p>
          <w:p w14:paraId="2B9158CE"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0208A9C9" w14:textId="77777777" w:rsidR="000F4FD4" w:rsidRPr="00C267DD" w:rsidRDefault="000F4FD4" w:rsidP="007673F3">
            <w:pPr>
              <w:rPr>
                <w:rFonts w:ascii="Calibri" w:hAnsi="Calibri" w:cs="Arial"/>
                <w:color w:val="002060"/>
                <w:sz w:val="22"/>
                <w:szCs w:val="22"/>
                <w:lang w:val="el-GR"/>
              </w:rPr>
            </w:pPr>
          </w:p>
          <w:p w14:paraId="4D28F92E" w14:textId="016CB686" w:rsidR="000F4FD4" w:rsidRPr="00FB597C" w:rsidRDefault="00FB597C" w:rsidP="007673F3">
            <w:pPr>
              <w:rPr>
                <w:rFonts w:ascii="Calibri" w:hAnsi="Calibri" w:cs="Arial"/>
                <w:color w:val="002060"/>
                <w:lang w:val="el-GR"/>
              </w:rPr>
            </w:pPr>
            <w:r>
              <w:rPr>
                <w:rFonts w:ascii="Calibri" w:hAnsi="Calibri" w:cs="Arial"/>
                <w:color w:val="002060"/>
                <w:lang w:val="el-GR"/>
              </w:rPr>
              <w:t>Γραπτή τελική εξέταση (100%)</w:t>
            </w:r>
          </w:p>
          <w:p w14:paraId="37EC2FF4" w14:textId="77777777" w:rsidR="000F4FD4" w:rsidRPr="00FB597C" w:rsidRDefault="000F4FD4" w:rsidP="007673F3">
            <w:pPr>
              <w:rPr>
                <w:rFonts w:ascii="Calibri" w:hAnsi="Calibri" w:cs="Arial"/>
                <w:color w:val="002060"/>
              </w:rPr>
            </w:pPr>
          </w:p>
          <w:p w14:paraId="7AF88019" w14:textId="77777777" w:rsidR="000F4FD4" w:rsidRPr="00705AAD" w:rsidRDefault="000F4FD4" w:rsidP="007673F3">
            <w:pPr>
              <w:rPr>
                <w:rFonts w:ascii="Calibri" w:hAnsi="Calibri" w:cs="Arial"/>
                <w:color w:val="002060"/>
                <w:lang w:val="el-GR"/>
              </w:rPr>
            </w:pPr>
          </w:p>
        </w:tc>
      </w:tr>
    </w:tbl>
    <w:p w14:paraId="70F85BB2" w14:textId="77777777"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1E3D8A" w14:paraId="33DE82E5" w14:textId="77777777" w:rsidTr="007673F3">
        <w:tc>
          <w:tcPr>
            <w:tcW w:w="8472" w:type="dxa"/>
          </w:tcPr>
          <w:p w14:paraId="02E29DF9" w14:textId="77777777" w:rsidR="001A1C52" w:rsidRDefault="00A8723B" w:rsidP="004D6D93">
            <w:pPr>
              <w:pStyle w:val="ListParagraph"/>
              <w:spacing w:after="120" w:line="240" w:lineRule="auto"/>
              <w:ind w:left="0"/>
              <w:jc w:val="both"/>
              <w:rPr>
                <w:rFonts w:cs="Arial"/>
                <w:i/>
                <w:sz w:val="16"/>
                <w:szCs w:val="16"/>
              </w:rPr>
            </w:pPr>
            <w:r>
              <w:rPr>
                <w:rFonts w:cs="Arial"/>
                <w:i/>
                <w:sz w:val="16"/>
                <w:szCs w:val="16"/>
              </w:rPr>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0F4FD4" w:rsidRPr="00A8723B">
              <w:rPr>
                <w:rFonts w:cs="Arial"/>
                <w:i/>
                <w:sz w:val="16"/>
                <w:szCs w:val="16"/>
              </w:rPr>
              <w:t>:</w:t>
            </w:r>
          </w:p>
          <w:p w14:paraId="78912793" w14:textId="081EF9B8" w:rsidR="000F4FD4" w:rsidRPr="00C8520A" w:rsidRDefault="00FB597C" w:rsidP="005449BA">
            <w:pPr>
              <w:jc w:val="both"/>
              <w:rPr>
                <w:rFonts w:asciiTheme="minorHAnsi" w:hAnsiTheme="minorHAnsi"/>
                <w:sz w:val="20"/>
                <w:szCs w:val="20"/>
                <w:lang w:val="el-GR"/>
              </w:rPr>
            </w:pPr>
            <w:r w:rsidRPr="00FB597C">
              <w:rPr>
                <w:sz w:val="18"/>
                <w:szCs w:val="18"/>
                <w:lang w:val="el-GR"/>
              </w:rPr>
              <w:t>●</w:t>
            </w:r>
            <w:r w:rsidRPr="00FB597C">
              <w:rPr>
                <w:lang w:val="el-GR"/>
              </w:rPr>
              <w:t xml:space="preserve"> </w:t>
            </w:r>
            <w:r w:rsidR="00C8520A">
              <w:rPr>
                <w:lang w:val="el-GR"/>
              </w:rPr>
              <w:t xml:space="preserve"> </w:t>
            </w:r>
            <w:r w:rsidR="00A41AC6" w:rsidRPr="00C8520A">
              <w:rPr>
                <w:rFonts w:asciiTheme="minorHAnsi" w:hAnsiTheme="minorHAnsi"/>
                <w:sz w:val="20"/>
                <w:szCs w:val="20"/>
                <w:lang w:val="el-GR"/>
              </w:rPr>
              <w:t>Χατζόπουλος</w:t>
            </w:r>
            <w:r w:rsidR="00C8520A">
              <w:rPr>
                <w:rFonts w:asciiTheme="minorHAnsi" w:hAnsiTheme="minorHAnsi"/>
                <w:sz w:val="20"/>
                <w:szCs w:val="20"/>
                <w:lang w:val="el-GR"/>
              </w:rPr>
              <w:t>,</w:t>
            </w:r>
            <w:r w:rsidR="00A41AC6" w:rsidRPr="00C8520A">
              <w:rPr>
                <w:rFonts w:asciiTheme="minorHAnsi" w:hAnsiTheme="minorHAnsi"/>
                <w:sz w:val="20"/>
                <w:szCs w:val="20"/>
                <w:lang w:val="el-GR"/>
              </w:rPr>
              <w:t xml:space="preserve"> Π. (2011)</w:t>
            </w:r>
            <w:r w:rsidR="00C8520A">
              <w:rPr>
                <w:rFonts w:asciiTheme="minorHAnsi" w:hAnsiTheme="minorHAnsi"/>
                <w:sz w:val="20"/>
                <w:szCs w:val="20"/>
                <w:lang w:val="el-GR"/>
              </w:rPr>
              <w:t>.</w:t>
            </w:r>
            <w:r w:rsidR="00A41AC6" w:rsidRPr="00C8520A">
              <w:rPr>
                <w:rFonts w:asciiTheme="minorHAnsi" w:hAnsiTheme="minorHAnsi"/>
                <w:sz w:val="20"/>
                <w:szCs w:val="20"/>
                <w:lang w:val="el-GR"/>
              </w:rPr>
              <w:t xml:space="preserve"> Μαθηματικά Ασφαλίσεων Ζωής, Εκδόσεις Συμμετρία</w:t>
            </w:r>
            <w:r w:rsidR="00C8520A">
              <w:rPr>
                <w:rFonts w:asciiTheme="minorHAnsi" w:hAnsiTheme="minorHAnsi"/>
                <w:sz w:val="20"/>
                <w:szCs w:val="20"/>
                <w:lang w:val="el-GR"/>
              </w:rPr>
              <w:t>, Αθήνα.</w:t>
            </w:r>
          </w:p>
          <w:p w14:paraId="7E8AC268" w14:textId="3AD4932D" w:rsidR="00C8520A" w:rsidRPr="00C8520A" w:rsidRDefault="00FB597C" w:rsidP="00C8520A">
            <w:pPr>
              <w:jc w:val="both"/>
              <w:rPr>
                <w:rFonts w:asciiTheme="minorHAnsi" w:hAnsiTheme="minorHAnsi"/>
                <w:sz w:val="20"/>
                <w:szCs w:val="20"/>
                <w:lang w:val="el-GR"/>
              </w:rPr>
            </w:pPr>
            <w:r w:rsidRPr="00C8520A">
              <w:rPr>
                <w:rFonts w:asciiTheme="minorHAnsi" w:hAnsiTheme="minorHAnsi"/>
                <w:sz w:val="20"/>
                <w:szCs w:val="20"/>
                <w:lang w:val="el-GR"/>
              </w:rPr>
              <w:t>●</w:t>
            </w:r>
            <w:r w:rsidR="00C8520A">
              <w:rPr>
                <w:rFonts w:asciiTheme="minorHAnsi" w:hAnsiTheme="minorHAnsi"/>
                <w:sz w:val="20"/>
                <w:szCs w:val="20"/>
                <w:lang w:val="el-GR"/>
              </w:rPr>
              <w:t xml:space="preserve"> </w:t>
            </w:r>
            <w:r w:rsidR="00C8520A" w:rsidRPr="00C8520A">
              <w:rPr>
                <w:rFonts w:asciiTheme="minorHAnsi" w:hAnsiTheme="minorHAnsi"/>
                <w:sz w:val="20"/>
                <w:szCs w:val="20"/>
                <w:lang w:val="el-GR"/>
              </w:rPr>
              <w:t>Ζυμπίδης</w:t>
            </w:r>
            <w:r w:rsidR="00C8520A">
              <w:rPr>
                <w:rFonts w:asciiTheme="minorHAnsi" w:hAnsiTheme="minorHAnsi"/>
                <w:sz w:val="20"/>
                <w:szCs w:val="20"/>
                <w:lang w:val="el-GR"/>
              </w:rPr>
              <w:t>,</w:t>
            </w:r>
            <w:r w:rsidR="00C8520A" w:rsidRPr="00C8520A">
              <w:rPr>
                <w:rFonts w:asciiTheme="minorHAnsi" w:hAnsiTheme="minorHAnsi"/>
                <w:sz w:val="20"/>
                <w:szCs w:val="20"/>
                <w:lang w:val="el-GR"/>
              </w:rPr>
              <w:t xml:space="preserve"> Α. </w:t>
            </w:r>
            <w:r w:rsidR="00C8520A">
              <w:rPr>
                <w:rFonts w:asciiTheme="minorHAnsi" w:hAnsiTheme="minorHAnsi"/>
                <w:sz w:val="20"/>
                <w:szCs w:val="20"/>
                <w:lang w:val="el-GR"/>
              </w:rPr>
              <w:t xml:space="preserve">(2009). </w:t>
            </w:r>
            <w:r w:rsidR="00C8520A" w:rsidRPr="00C8520A">
              <w:rPr>
                <w:rFonts w:asciiTheme="minorHAnsi" w:hAnsiTheme="minorHAnsi"/>
                <w:sz w:val="20"/>
                <w:szCs w:val="20"/>
                <w:lang w:val="el-GR"/>
              </w:rPr>
              <w:t>Αναλογιστικά Μαθηματικά Ασφαλίσεων Ζωής</w:t>
            </w:r>
            <w:r w:rsidR="00C8520A">
              <w:rPr>
                <w:rFonts w:asciiTheme="minorHAnsi" w:hAnsiTheme="minorHAnsi"/>
                <w:sz w:val="20"/>
                <w:szCs w:val="20"/>
                <w:lang w:val="el-GR"/>
              </w:rPr>
              <w:t>,</w:t>
            </w:r>
            <w:r w:rsidR="00C8520A" w:rsidRPr="00C8520A">
              <w:rPr>
                <w:rFonts w:asciiTheme="minorHAnsi" w:hAnsiTheme="minorHAnsi"/>
                <w:sz w:val="20"/>
                <w:szCs w:val="20"/>
                <w:lang w:val="el-GR"/>
              </w:rPr>
              <w:t xml:space="preserve"> </w:t>
            </w:r>
            <w:r w:rsidR="00C8520A">
              <w:rPr>
                <w:rFonts w:asciiTheme="minorHAnsi" w:hAnsiTheme="minorHAnsi"/>
                <w:sz w:val="20"/>
                <w:szCs w:val="20"/>
                <w:lang w:val="el-GR"/>
              </w:rPr>
              <w:t>Εκδόσεις Οικονομικό Πανεπιστήμιο Αθηνών.</w:t>
            </w:r>
          </w:p>
          <w:p w14:paraId="644E3244" w14:textId="64790F2C" w:rsidR="00FB597C" w:rsidRPr="00C8520A" w:rsidRDefault="00FB597C" w:rsidP="005449BA">
            <w:pPr>
              <w:jc w:val="both"/>
              <w:rPr>
                <w:rFonts w:asciiTheme="minorHAnsi" w:hAnsiTheme="minorHAnsi" w:cstheme="minorHAnsi"/>
                <w:color w:val="002060"/>
                <w:sz w:val="20"/>
                <w:szCs w:val="20"/>
                <w:lang w:val="el-GR"/>
              </w:rPr>
            </w:pPr>
          </w:p>
          <w:p w14:paraId="12E46183" w14:textId="77777777" w:rsidR="00544CAE" w:rsidRDefault="00544CAE" w:rsidP="005449BA">
            <w:pPr>
              <w:jc w:val="both"/>
              <w:rPr>
                <w:rFonts w:asciiTheme="minorHAnsi" w:hAnsiTheme="minorHAnsi" w:cstheme="minorHAnsi"/>
                <w:color w:val="002060"/>
                <w:sz w:val="22"/>
                <w:szCs w:val="22"/>
                <w:lang w:val="el-GR"/>
              </w:rPr>
            </w:pPr>
          </w:p>
          <w:p w14:paraId="13E05643" w14:textId="77777777" w:rsidR="00544CAE" w:rsidRDefault="00544CAE" w:rsidP="005449BA">
            <w:pPr>
              <w:jc w:val="both"/>
              <w:rPr>
                <w:rFonts w:asciiTheme="minorHAnsi" w:hAnsiTheme="minorHAnsi" w:cstheme="minorHAnsi"/>
                <w:color w:val="002060"/>
                <w:sz w:val="22"/>
                <w:szCs w:val="22"/>
                <w:lang w:val="el-GR"/>
              </w:rPr>
            </w:pPr>
          </w:p>
          <w:p w14:paraId="394BF982" w14:textId="77777777" w:rsidR="00544CAE" w:rsidRDefault="00544CAE" w:rsidP="005449BA">
            <w:pPr>
              <w:jc w:val="both"/>
              <w:rPr>
                <w:rFonts w:asciiTheme="minorHAnsi" w:hAnsiTheme="minorHAnsi" w:cstheme="minorHAnsi"/>
                <w:color w:val="002060"/>
                <w:sz w:val="22"/>
                <w:szCs w:val="22"/>
                <w:lang w:val="el-GR"/>
              </w:rPr>
            </w:pPr>
          </w:p>
          <w:p w14:paraId="1DC23605" w14:textId="77777777" w:rsidR="00544CAE" w:rsidRDefault="00544CAE" w:rsidP="005449BA">
            <w:pPr>
              <w:jc w:val="both"/>
              <w:rPr>
                <w:rFonts w:asciiTheme="minorHAnsi" w:hAnsiTheme="minorHAnsi" w:cstheme="minorHAnsi"/>
                <w:color w:val="002060"/>
                <w:sz w:val="22"/>
                <w:szCs w:val="22"/>
                <w:lang w:val="el-GR"/>
              </w:rPr>
            </w:pPr>
          </w:p>
          <w:p w14:paraId="0EB79512" w14:textId="32AFCFC3" w:rsidR="00544CAE" w:rsidRPr="00A41AC6" w:rsidRDefault="00544CAE" w:rsidP="005449BA">
            <w:pPr>
              <w:jc w:val="both"/>
              <w:rPr>
                <w:rFonts w:asciiTheme="minorHAnsi" w:hAnsiTheme="minorHAnsi" w:cstheme="minorHAnsi"/>
                <w:color w:val="000000" w:themeColor="text1"/>
                <w:sz w:val="22"/>
                <w:szCs w:val="22"/>
                <w:lang w:val="el-GR"/>
              </w:rPr>
            </w:pPr>
          </w:p>
        </w:tc>
      </w:tr>
    </w:tbl>
    <w:p w14:paraId="7A505D3C" w14:textId="77777777" w:rsidR="000F4FD4" w:rsidRPr="00A41AC6" w:rsidRDefault="000F4FD4" w:rsidP="000F4FD4">
      <w:pPr>
        <w:widowControl w:val="0"/>
        <w:autoSpaceDE w:val="0"/>
        <w:autoSpaceDN w:val="0"/>
        <w:adjustRightInd w:val="0"/>
        <w:spacing w:before="240" w:after="200" w:line="276" w:lineRule="auto"/>
        <w:rPr>
          <w:rFonts w:ascii="Calibri" w:hAnsi="Calibri" w:cs="Arial"/>
          <w:b/>
          <w:color w:val="000000"/>
          <w:sz w:val="22"/>
          <w:szCs w:val="22"/>
          <w:lang w:val="el-GR"/>
        </w:rPr>
      </w:pPr>
    </w:p>
    <w:bookmarkEnd w:id="0"/>
    <w:p w14:paraId="7815C306" w14:textId="77777777" w:rsidR="000F4FD4" w:rsidRPr="00A41AC6" w:rsidRDefault="000F4FD4" w:rsidP="000F4FD4">
      <w:pPr>
        <w:rPr>
          <w:rFonts w:ascii="Cambria" w:hAnsi="Cambria"/>
          <w:b/>
          <w:bCs/>
          <w:sz w:val="28"/>
          <w:lang w:val="el-GR"/>
        </w:rPr>
      </w:pPr>
    </w:p>
    <w:sectPr w:rsidR="000F4FD4" w:rsidRPr="00A41AC6"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2E568" w14:textId="77777777" w:rsidR="00F6067D" w:rsidRDefault="00F6067D">
      <w:r>
        <w:separator/>
      </w:r>
    </w:p>
  </w:endnote>
  <w:endnote w:type="continuationSeparator" w:id="0">
    <w:p w14:paraId="3E9CA10E" w14:textId="77777777" w:rsidR="00F6067D" w:rsidRDefault="00F60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D53E1" w14:textId="77777777" w:rsidR="00F6067D" w:rsidRDefault="00F6067D">
      <w:r>
        <w:separator/>
      </w:r>
    </w:p>
  </w:footnote>
  <w:footnote w:type="continuationSeparator" w:id="0">
    <w:p w14:paraId="06D620F4" w14:textId="77777777" w:rsidR="00F6067D" w:rsidRDefault="00F60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56328" w14:textId="77777777" w:rsidR="007673F3" w:rsidRDefault="00767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F9A82E" w14:textId="77777777" w:rsidR="007673F3" w:rsidRDefault="007673F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35pt;height:10.35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7"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9"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0"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1"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0"/>
  </w:num>
  <w:num w:numId="3">
    <w:abstractNumId w:val="5"/>
  </w:num>
  <w:num w:numId="4">
    <w:abstractNumId w:val="2"/>
  </w:num>
  <w:num w:numId="5">
    <w:abstractNumId w:val="4"/>
  </w:num>
  <w:num w:numId="6">
    <w:abstractNumId w:val="40"/>
  </w:num>
  <w:num w:numId="7">
    <w:abstractNumId w:val="17"/>
  </w:num>
  <w:num w:numId="8">
    <w:abstractNumId w:val="8"/>
  </w:num>
  <w:num w:numId="9">
    <w:abstractNumId w:val="33"/>
  </w:num>
  <w:num w:numId="10">
    <w:abstractNumId w:val="41"/>
  </w:num>
  <w:num w:numId="11">
    <w:abstractNumId w:val="18"/>
  </w:num>
  <w:num w:numId="12">
    <w:abstractNumId w:val="22"/>
  </w:num>
  <w:num w:numId="13">
    <w:abstractNumId w:val="8"/>
  </w:num>
  <w:num w:numId="14">
    <w:abstractNumId w:val="14"/>
  </w:num>
  <w:num w:numId="15">
    <w:abstractNumId w:val="36"/>
  </w:num>
  <w:num w:numId="16">
    <w:abstractNumId w:val="33"/>
  </w:num>
  <w:num w:numId="17">
    <w:abstractNumId w:val="12"/>
  </w:num>
  <w:num w:numId="18">
    <w:abstractNumId w:val="23"/>
  </w:num>
  <w:num w:numId="19">
    <w:abstractNumId w:val="0"/>
  </w:num>
  <w:num w:numId="20">
    <w:abstractNumId w:val="15"/>
  </w:num>
  <w:num w:numId="21">
    <w:abstractNumId w:val="6"/>
  </w:num>
  <w:num w:numId="22">
    <w:abstractNumId w:val="29"/>
  </w:num>
  <w:num w:numId="23">
    <w:abstractNumId w:val="11"/>
  </w:num>
  <w:num w:numId="24">
    <w:abstractNumId w:val="19"/>
  </w:num>
  <w:num w:numId="25">
    <w:abstractNumId w:val="1"/>
  </w:num>
  <w:num w:numId="26">
    <w:abstractNumId w:val="42"/>
  </w:num>
  <w:num w:numId="27">
    <w:abstractNumId w:val="32"/>
  </w:num>
  <w:num w:numId="28">
    <w:abstractNumId w:val="7"/>
  </w:num>
  <w:num w:numId="29">
    <w:abstractNumId w:val="24"/>
  </w:num>
  <w:num w:numId="30">
    <w:abstractNumId w:val="38"/>
  </w:num>
  <w:num w:numId="31">
    <w:abstractNumId w:val="9"/>
  </w:num>
  <w:num w:numId="32">
    <w:abstractNumId w:val="27"/>
  </w:num>
  <w:num w:numId="33">
    <w:abstractNumId w:val="21"/>
  </w:num>
  <w:num w:numId="34">
    <w:abstractNumId w:val="37"/>
  </w:num>
  <w:num w:numId="35">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0"/>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0"/>
  </w:num>
  <w:num w:numId="41">
    <w:abstractNumId w:val="16"/>
  </w:num>
  <w:num w:numId="42">
    <w:abstractNumId w:val="26"/>
  </w:num>
  <w:num w:numId="43">
    <w:abstractNumId w:val="28"/>
  </w:num>
  <w:num w:numId="44">
    <w:abstractNumId w:val="35"/>
  </w:num>
  <w:num w:numId="4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3AE"/>
    <w:rsid w:val="0002577E"/>
    <w:rsid w:val="000275E7"/>
    <w:rsid w:val="000275FF"/>
    <w:rsid w:val="00027E26"/>
    <w:rsid w:val="000306CF"/>
    <w:rsid w:val="00030F0D"/>
    <w:rsid w:val="000328C5"/>
    <w:rsid w:val="00033075"/>
    <w:rsid w:val="00033ED5"/>
    <w:rsid w:val="00034998"/>
    <w:rsid w:val="00037685"/>
    <w:rsid w:val="00040596"/>
    <w:rsid w:val="00040A67"/>
    <w:rsid w:val="000410DA"/>
    <w:rsid w:val="00041C10"/>
    <w:rsid w:val="000443E5"/>
    <w:rsid w:val="0005007E"/>
    <w:rsid w:val="00052058"/>
    <w:rsid w:val="0005657A"/>
    <w:rsid w:val="000571FD"/>
    <w:rsid w:val="00057469"/>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1438"/>
    <w:rsid w:val="000829CE"/>
    <w:rsid w:val="0008519E"/>
    <w:rsid w:val="00090252"/>
    <w:rsid w:val="00090277"/>
    <w:rsid w:val="00091F9F"/>
    <w:rsid w:val="000957CA"/>
    <w:rsid w:val="000964E8"/>
    <w:rsid w:val="000A3348"/>
    <w:rsid w:val="000A3476"/>
    <w:rsid w:val="000A4DDE"/>
    <w:rsid w:val="000A55BA"/>
    <w:rsid w:val="000A566B"/>
    <w:rsid w:val="000B07DB"/>
    <w:rsid w:val="000B0B08"/>
    <w:rsid w:val="000B7F47"/>
    <w:rsid w:val="000C3A17"/>
    <w:rsid w:val="000C4334"/>
    <w:rsid w:val="000C4E47"/>
    <w:rsid w:val="000C564B"/>
    <w:rsid w:val="000D135A"/>
    <w:rsid w:val="000D1CF6"/>
    <w:rsid w:val="000D3ACC"/>
    <w:rsid w:val="000D4B88"/>
    <w:rsid w:val="000D5EC2"/>
    <w:rsid w:val="000D6BAA"/>
    <w:rsid w:val="000E0695"/>
    <w:rsid w:val="000E06F0"/>
    <w:rsid w:val="000E0F94"/>
    <w:rsid w:val="000E1343"/>
    <w:rsid w:val="000E1AA6"/>
    <w:rsid w:val="000E3FF4"/>
    <w:rsid w:val="000E42EA"/>
    <w:rsid w:val="000E5A3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5CBC"/>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5993"/>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3D8A"/>
    <w:rsid w:val="001E497B"/>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2EE0"/>
    <w:rsid w:val="00243AB2"/>
    <w:rsid w:val="00243AB4"/>
    <w:rsid w:val="002457AA"/>
    <w:rsid w:val="00245FA4"/>
    <w:rsid w:val="0024715B"/>
    <w:rsid w:val="0024793D"/>
    <w:rsid w:val="00247A19"/>
    <w:rsid w:val="00250A2F"/>
    <w:rsid w:val="00255063"/>
    <w:rsid w:val="0025547E"/>
    <w:rsid w:val="0026051D"/>
    <w:rsid w:val="00260B12"/>
    <w:rsid w:val="00261622"/>
    <w:rsid w:val="0026235E"/>
    <w:rsid w:val="00265E37"/>
    <w:rsid w:val="00265F0D"/>
    <w:rsid w:val="002706A7"/>
    <w:rsid w:val="00271BEE"/>
    <w:rsid w:val="00271F7D"/>
    <w:rsid w:val="00272884"/>
    <w:rsid w:val="00273D35"/>
    <w:rsid w:val="0027626F"/>
    <w:rsid w:val="00277781"/>
    <w:rsid w:val="00280486"/>
    <w:rsid w:val="00280806"/>
    <w:rsid w:val="00280BFE"/>
    <w:rsid w:val="0028166F"/>
    <w:rsid w:val="00282FAB"/>
    <w:rsid w:val="00285D8B"/>
    <w:rsid w:val="00286A85"/>
    <w:rsid w:val="002874EB"/>
    <w:rsid w:val="0029057A"/>
    <w:rsid w:val="002963E4"/>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4E11"/>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68DA"/>
    <w:rsid w:val="003379E6"/>
    <w:rsid w:val="003403BB"/>
    <w:rsid w:val="0034072B"/>
    <w:rsid w:val="00341341"/>
    <w:rsid w:val="003439C9"/>
    <w:rsid w:val="003445BF"/>
    <w:rsid w:val="003458C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36A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074B7"/>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1120"/>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5FBB"/>
    <w:rsid w:val="004B66A4"/>
    <w:rsid w:val="004B759D"/>
    <w:rsid w:val="004B7CDA"/>
    <w:rsid w:val="004C0CD5"/>
    <w:rsid w:val="004C6042"/>
    <w:rsid w:val="004C6CEE"/>
    <w:rsid w:val="004C6E71"/>
    <w:rsid w:val="004C7FD9"/>
    <w:rsid w:val="004D3382"/>
    <w:rsid w:val="004D436C"/>
    <w:rsid w:val="004D48DC"/>
    <w:rsid w:val="004D552E"/>
    <w:rsid w:val="004D6D93"/>
    <w:rsid w:val="004D7169"/>
    <w:rsid w:val="004D78E9"/>
    <w:rsid w:val="004E1CD8"/>
    <w:rsid w:val="004E20E1"/>
    <w:rsid w:val="004E6087"/>
    <w:rsid w:val="004E6291"/>
    <w:rsid w:val="004E7274"/>
    <w:rsid w:val="004F14DF"/>
    <w:rsid w:val="004F2431"/>
    <w:rsid w:val="004F3901"/>
    <w:rsid w:val="004F41D3"/>
    <w:rsid w:val="004F4EDE"/>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17D"/>
    <w:rsid w:val="00526739"/>
    <w:rsid w:val="00526E51"/>
    <w:rsid w:val="005314D4"/>
    <w:rsid w:val="00532B1C"/>
    <w:rsid w:val="00533AA9"/>
    <w:rsid w:val="00534C2C"/>
    <w:rsid w:val="00536B09"/>
    <w:rsid w:val="00536C56"/>
    <w:rsid w:val="005400E6"/>
    <w:rsid w:val="00540C82"/>
    <w:rsid w:val="005410F5"/>
    <w:rsid w:val="00543861"/>
    <w:rsid w:val="005449BA"/>
    <w:rsid w:val="00544CAE"/>
    <w:rsid w:val="00546047"/>
    <w:rsid w:val="005464A0"/>
    <w:rsid w:val="00550C72"/>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56D7"/>
    <w:rsid w:val="00576181"/>
    <w:rsid w:val="00576F02"/>
    <w:rsid w:val="005773B3"/>
    <w:rsid w:val="00577B9A"/>
    <w:rsid w:val="00580EB3"/>
    <w:rsid w:val="00581DFF"/>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E4D8B"/>
    <w:rsid w:val="005F1D7B"/>
    <w:rsid w:val="0060443B"/>
    <w:rsid w:val="00606296"/>
    <w:rsid w:val="00606935"/>
    <w:rsid w:val="00607285"/>
    <w:rsid w:val="00607F29"/>
    <w:rsid w:val="006122F8"/>
    <w:rsid w:val="0061373A"/>
    <w:rsid w:val="00616ACF"/>
    <w:rsid w:val="00616EF9"/>
    <w:rsid w:val="00617CBD"/>
    <w:rsid w:val="0062344E"/>
    <w:rsid w:val="00627710"/>
    <w:rsid w:val="00630A21"/>
    <w:rsid w:val="006324B4"/>
    <w:rsid w:val="00632727"/>
    <w:rsid w:val="00632C03"/>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5D9"/>
    <w:rsid w:val="00660EA0"/>
    <w:rsid w:val="00661509"/>
    <w:rsid w:val="00661933"/>
    <w:rsid w:val="00662BBC"/>
    <w:rsid w:val="00663846"/>
    <w:rsid w:val="00665585"/>
    <w:rsid w:val="00667CAA"/>
    <w:rsid w:val="00667ED7"/>
    <w:rsid w:val="006702EA"/>
    <w:rsid w:val="00673026"/>
    <w:rsid w:val="00673E26"/>
    <w:rsid w:val="006742F4"/>
    <w:rsid w:val="00677A06"/>
    <w:rsid w:val="006827DF"/>
    <w:rsid w:val="006829DC"/>
    <w:rsid w:val="00683AB2"/>
    <w:rsid w:val="00684858"/>
    <w:rsid w:val="0068638A"/>
    <w:rsid w:val="00686460"/>
    <w:rsid w:val="00686C41"/>
    <w:rsid w:val="00686E99"/>
    <w:rsid w:val="0069451A"/>
    <w:rsid w:val="0069485E"/>
    <w:rsid w:val="006A0172"/>
    <w:rsid w:val="006A1698"/>
    <w:rsid w:val="006A6323"/>
    <w:rsid w:val="006A6489"/>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6B9"/>
    <w:rsid w:val="00712A3B"/>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313"/>
    <w:rsid w:val="00733470"/>
    <w:rsid w:val="00735DA9"/>
    <w:rsid w:val="00735F51"/>
    <w:rsid w:val="0073721A"/>
    <w:rsid w:val="00737292"/>
    <w:rsid w:val="00737A8B"/>
    <w:rsid w:val="00737CA1"/>
    <w:rsid w:val="00742233"/>
    <w:rsid w:val="00743DA5"/>
    <w:rsid w:val="00743DDB"/>
    <w:rsid w:val="007469D0"/>
    <w:rsid w:val="007510E4"/>
    <w:rsid w:val="00751C2F"/>
    <w:rsid w:val="00752DF8"/>
    <w:rsid w:val="00754DC6"/>
    <w:rsid w:val="00754F49"/>
    <w:rsid w:val="007553B9"/>
    <w:rsid w:val="007568E0"/>
    <w:rsid w:val="0075740B"/>
    <w:rsid w:val="007575B9"/>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4F0C"/>
    <w:rsid w:val="007E6482"/>
    <w:rsid w:val="007E6D9C"/>
    <w:rsid w:val="007F00E3"/>
    <w:rsid w:val="007F1C55"/>
    <w:rsid w:val="007F217F"/>
    <w:rsid w:val="007F4904"/>
    <w:rsid w:val="007F5893"/>
    <w:rsid w:val="007F58AA"/>
    <w:rsid w:val="0080065F"/>
    <w:rsid w:val="00803835"/>
    <w:rsid w:val="00804786"/>
    <w:rsid w:val="00804ED0"/>
    <w:rsid w:val="00805B3C"/>
    <w:rsid w:val="00812870"/>
    <w:rsid w:val="0081541E"/>
    <w:rsid w:val="008163C4"/>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5F9"/>
    <w:rsid w:val="00855E56"/>
    <w:rsid w:val="008601ED"/>
    <w:rsid w:val="00861DE7"/>
    <w:rsid w:val="008646C6"/>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1C8"/>
    <w:rsid w:val="00912541"/>
    <w:rsid w:val="0091369A"/>
    <w:rsid w:val="0091429C"/>
    <w:rsid w:val="00915407"/>
    <w:rsid w:val="00920F5E"/>
    <w:rsid w:val="00921C67"/>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0562"/>
    <w:rsid w:val="009644E3"/>
    <w:rsid w:val="00964DA1"/>
    <w:rsid w:val="0096523C"/>
    <w:rsid w:val="009657C2"/>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DC4"/>
    <w:rsid w:val="009C7F0C"/>
    <w:rsid w:val="009D0921"/>
    <w:rsid w:val="009D0CDA"/>
    <w:rsid w:val="009D38B6"/>
    <w:rsid w:val="009D4335"/>
    <w:rsid w:val="009E0A75"/>
    <w:rsid w:val="009E375C"/>
    <w:rsid w:val="009E5962"/>
    <w:rsid w:val="009E5F66"/>
    <w:rsid w:val="009E7779"/>
    <w:rsid w:val="009E7B07"/>
    <w:rsid w:val="009F6FEA"/>
    <w:rsid w:val="00A00EB0"/>
    <w:rsid w:val="00A02135"/>
    <w:rsid w:val="00A03499"/>
    <w:rsid w:val="00A03A44"/>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AC6"/>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260"/>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594C"/>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854"/>
    <w:rsid w:val="00B23D40"/>
    <w:rsid w:val="00B245EF"/>
    <w:rsid w:val="00B30FE0"/>
    <w:rsid w:val="00B31A2D"/>
    <w:rsid w:val="00B32D90"/>
    <w:rsid w:val="00B3321C"/>
    <w:rsid w:val="00B34D0C"/>
    <w:rsid w:val="00B35BA3"/>
    <w:rsid w:val="00B36D17"/>
    <w:rsid w:val="00B374D1"/>
    <w:rsid w:val="00B44DC9"/>
    <w:rsid w:val="00B4658E"/>
    <w:rsid w:val="00B468E0"/>
    <w:rsid w:val="00B47190"/>
    <w:rsid w:val="00B52893"/>
    <w:rsid w:val="00B52AAC"/>
    <w:rsid w:val="00B54474"/>
    <w:rsid w:val="00B54C74"/>
    <w:rsid w:val="00B551FB"/>
    <w:rsid w:val="00B56AD2"/>
    <w:rsid w:val="00B56BD6"/>
    <w:rsid w:val="00B570C8"/>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4D5C"/>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2D50"/>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267DD"/>
    <w:rsid w:val="00C307C1"/>
    <w:rsid w:val="00C30CC5"/>
    <w:rsid w:val="00C32006"/>
    <w:rsid w:val="00C33A80"/>
    <w:rsid w:val="00C33D83"/>
    <w:rsid w:val="00C363EF"/>
    <w:rsid w:val="00C442C8"/>
    <w:rsid w:val="00C4452B"/>
    <w:rsid w:val="00C44C70"/>
    <w:rsid w:val="00C462AF"/>
    <w:rsid w:val="00C47DC1"/>
    <w:rsid w:val="00C52993"/>
    <w:rsid w:val="00C54BE1"/>
    <w:rsid w:val="00C56E49"/>
    <w:rsid w:val="00C57B74"/>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76BD6"/>
    <w:rsid w:val="00C808E0"/>
    <w:rsid w:val="00C80950"/>
    <w:rsid w:val="00C80EAC"/>
    <w:rsid w:val="00C81911"/>
    <w:rsid w:val="00C81BE4"/>
    <w:rsid w:val="00C8520A"/>
    <w:rsid w:val="00C90E6B"/>
    <w:rsid w:val="00C91220"/>
    <w:rsid w:val="00C9175B"/>
    <w:rsid w:val="00C925AF"/>
    <w:rsid w:val="00C92672"/>
    <w:rsid w:val="00C9525D"/>
    <w:rsid w:val="00C9543D"/>
    <w:rsid w:val="00C95FAC"/>
    <w:rsid w:val="00C96B96"/>
    <w:rsid w:val="00CA0457"/>
    <w:rsid w:val="00CA0501"/>
    <w:rsid w:val="00CA29E9"/>
    <w:rsid w:val="00CA40AB"/>
    <w:rsid w:val="00CA64DF"/>
    <w:rsid w:val="00CA74DA"/>
    <w:rsid w:val="00CB047C"/>
    <w:rsid w:val="00CB1002"/>
    <w:rsid w:val="00CB143C"/>
    <w:rsid w:val="00CB1BBE"/>
    <w:rsid w:val="00CB2EBD"/>
    <w:rsid w:val="00CB38DC"/>
    <w:rsid w:val="00CB4609"/>
    <w:rsid w:val="00CB5213"/>
    <w:rsid w:val="00CB6505"/>
    <w:rsid w:val="00CB6DAE"/>
    <w:rsid w:val="00CC08FE"/>
    <w:rsid w:val="00CC3B95"/>
    <w:rsid w:val="00CC528A"/>
    <w:rsid w:val="00CC56FB"/>
    <w:rsid w:val="00CC5B3C"/>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407"/>
    <w:rsid w:val="00CF1623"/>
    <w:rsid w:val="00CF3802"/>
    <w:rsid w:val="00CF3EA8"/>
    <w:rsid w:val="00CF466D"/>
    <w:rsid w:val="00CF5338"/>
    <w:rsid w:val="00D02965"/>
    <w:rsid w:val="00D02FA0"/>
    <w:rsid w:val="00D05A9F"/>
    <w:rsid w:val="00D05BBA"/>
    <w:rsid w:val="00D06BE1"/>
    <w:rsid w:val="00D06FE6"/>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6871"/>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3617"/>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2A36"/>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580F"/>
    <w:rsid w:val="00DF6067"/>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5866"/>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3A85"/>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353B"/>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5D0B"/>
    <w:rsid w:val="00F4623E"/>
    <w:rsid w:val="00F47D2A"/>
    <w:rsid w:val="00F51881"/>
    <w:rsid w:val="00F52DC0"/>
    <w:rsid w:val="00F5357B"/>
    <w:rsid w:val="00F53732"/>
    <w:rsid w:val="00F563E5"/>
    <w:rsid w:val="00F56B3B"/>
    <w:rsid w:val="00F5718D"/>
    <w:rsid w:val="00F6067D"/>
    <w:rsid w:val="00F60916"/>
    <w:rsid w:val="00F64F38"/>
    <w:rsid w:val="00F6619A"/>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597C"/>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63E6"/>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C4402A"/>
  <w15:docId w15:val="{3471F287-B0FE-44C3-A840-89A7179A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paragraph" w:customStyle="1" w:styleId="Default">
    <w:name w:val="Default"/>
    <w:rsid w:val="00E73A85"/>
    <w:pPr>
      <w:autoSpaceDE w:val="0"/>
      <w:autoSpaceDN w:val="0"/>
      <w:adjustRightInd w:val="0"/>
    </w:pPr>
    <w:rPr>
      <w:rFonts w:ascii="Calibri" w:hAnsi="Calibri" w:cs="Calibri"/>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285627775">
      <w:bodyDiv w:val="1"/>
      <w:marLeft w:val="0"/>
      <w:marRight w:val="0"/>
      <w:marTop w:val="0"/>
      <w:marBottom w:val="0"/>
      <w:divBdr>
        <w:top w:val="none" w:sz="0" w:space="0" w:color="auto"/>
        <w:left w:val="none" w:sz="0" w:space="0" w:color="auto"/>
        <w:bottom w:val="none" w:sz="0" w:space="0" w:color="auto"/>
        <w:right w:val="none" w:sz="0" w:space="0" w:color="auto"/>
      </w:divBdr>
    </w:div>
    <w:div w:id="338236152">
      <w:bodyDiv w:val="1"/>
      <w:marLeft w:val="0"/>
      <w:marRight w:val="0"/>
      <w:marTop w:val="0"/>
      <w:marBottom w:val="0"/>
      <w:divBdr>
        <w:top w:val="none" w:sz="0" w:space="0" w:color="auto"/>
        <w:left w:val="none" w:sz="0" w:space="0" w:color="auto"/>
        <w:bottom w:val="none" w:sz="0" w:space="0" w:color="auto"/>
        <w:right w:val="none" w:sz="0" w:space="0" w:color="auto"/>
      </w:divBdr>
    </w:div>
    <w:div w:id="87747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1635</Words>
  <Characters>8832</Characters>
  <Application>Microsoft Office Word</Application>
  <DocSecurity>0</DocSecurity>
  <Lines>73</Lines>
  <Paragraphs>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10447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Boss</cp:lastModifiedBy>
  <cp:revision>10</cp:revision>
  <cp:lastPrinted>2014-04-24T14:33:00Z</cp:lastPrinted>
  <dcterms:created xsi:type="dcterms:W3CDTF">2023-02-27T07:33:00Z</dcterms:created>
  <dcterms:modified xsi:type="dcterms:W3CDTF">2023-03-22T06:28:00Z</dcterms:modified>
</cp:coreProperties>
</file>