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A3B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B4C8243"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F4FD4" w:rsidRPr="00705AAD" w14:paraId="2CD66BA9" w14:textId="77777777" w:rsidTr="007673F3">
        <w:tc>
          <w:tcPr>
            <w:tcW w:w="3205" w:type="dxa"/>
            <w:shd w:val="clear" w:color="auto" w:fill="DDD9C3" w:themeFill="background2" w:themeFillShade="E6"/>
          </w:tcPr>
          <w:p w14:paraId="712E3BE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5BDC90B" w14:textId="77777777" w:rsidR="000F4FD4" w:rsidRPr="00793002" w:rsidRDefault="00B80920" w:rsidP="007673F3">
            <w:pPr>
              <w:rPr>
                <w:rFonts w:ascii="Calibri" w:hAnsi="Calibri" w:cs="Arial"/>
                <w:color w:val="002060"/>
                <w:sz w:val="20"/>
                <w:szCs w:val="20"/>
                <w:lang w:val="el-GR"/>
              </w:rPr>
            </w:pPr>
            <w:r w:rsidRPr="00793002">
              <w:rPr>
                <w:rFonts w:ascii="Calibri" w:hAnsi="Calibri" w:cs="Arial"/>
                <w:color w:val="002060"/>
                <w:sz w:val="20"/>
                <w:szCs w:val="20"/>
                <w:lang w:val="el-GR"/>
              </w:rPr>
              <w:t>ΧΡΗΜΑΤΟΟΙΚΟΝΟΜΙΚΗΣ ΚΑΙ ΣΤΑΤΙΣΤΙΚΗΣ</w:t>
            </w:r>
          </w:p>
        </w:tc>
      </w:tr>
      <w:tr w:rsidR="000F4FD4" w:rsidRPr="00705AAD" w14:paraId="7E5DBFA6" w14:textId="77777777" w:rsidTr="007673F3">
        <w:tc>
          <w:tcPr>
            <w:tcW w:w="3205" w:type="dxa"/>
            <w:shd w:val="clear" w:color="auto" w:fill="DDD9C3" w:themeFill="background2" w:themeFillShade="E6"/>
          </w:tcPr>
          <w:p w14:paraId="38ED02D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793DBA2" w14:textId="77777777" w:rsidR="000F4FD4" w:rsidRPr="00F36CD4" w:rsidRDefault="00F36CD4"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58A88D31" w14:textId="77777777" w:rsidTr="007673F3">
        <w:tc>
          <w:tcPr>
            <w:tcW w:w="3205" w:type="dxa"/>
            <w:shd w:val="clear" w:color="auto" w:fill="DDD9C3" w:themeFill="background2" w:themeFillShade="E6"/>
          </w:tcPr>
          <w:p w14:paraId="6D8E2F6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2BE46A3" w14:textId="77777777"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406FEFC" w14:textId="77777777" w:rsidTr="00B80920">
        <w:tc>
          <w:tcPr>
            <w:tcW w:w="3205" w:type="dxa"/>
            <w:shd w:val="clear" w:color="auto" w:fill="DDD9C3" w:themeFill="background2" w:themeFillShade="E6"/>
          </w:tcPr>
          <w:p w14:paraId="553D708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14:paraId="3114140A" w14:textId="77777777" w:rsidR="000F4FD4" w:rsidRPr="00705AAD" w:rsidRDefault="00B80920" w:rsidP="007673F3">
            <w:pPr>
              <w:rPr>
                <w:rFonts w:ascii="Calibri" w:hAnsi="Calibri" w:cs="Arial"/>
                <w:b/>
                <w:sz w:val="20"/>
                <w:szCs w:val="20"/>
                <w:lang w:val="el-GR"/>
              </w:rPr>
            </w:pPr>
            <w:r>
              <w:rPr>
                <w:rFonts w:ascii="Calibri" w:hAnsi="Calibri" w:cs="Arial"/>
                <w:b/>
                <w:sz w:val="20"/>
                <w:szCs w:val="20"/>
                <w:lang w:val="el-GR"/>
              </w:rPr>
              <w:t>ΣΑΑΣΦ26-17</w:t>
            </w:r>
          </w:p>
        </w:tc>
        <w:tc>
          <w:tcPr>
            <w:tcW w:w="2342" w:type="dxa"/>
            <w:gridSpan w:val="2"/>
            <w:shd w:val="clear" w:color="auto" w:fill="DDD9C3" w:themeFill="background2" w:themeFillShade="E6"/>
          </w:tcPr>
          <w:p w14:paraId="6A51814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DA2D41" w14:textId="77777777" w:rsidR="000F4FD4" w:rsidRPr="00705AAD" w:rsidRDefault="00B80920" w:rsidP="007673F3">
            <w:pPr>
              <w:rPr>
                <w:rFonts w:ascii="Calibri" w:hAnsi="Calibri" w:cs="Arial"/>
                <w:b/>
                <w:sz w:val="20"/>
                <w:szCs w:val="20"/>
                <w:lang w:val="el-GR"/>
              </w:rPr>
            </w:pPr>
            <w:r>
              <w:rPr>
                <w:rFonts w:ascii="Calibri" w:hAnsi="Calibri" w:cs="Arial"/>
                <w:b/>
                <w:sz w:val="20"/>
                <w:szCs w:val="20"/>
                <w:lang w:val="el-GR"/>
              </w:rPr>
              <w:t xml:space="preserve"> 2</w:t>
            </w:r>
          </w:p>
        </w:tc>
      </w:tr>
      <w:tr w:rsidR="000F4FD4" w:rsidRPr="00705AAD" w14:paraId="259B5534" w14:textId="77777777" w:rsidTr="007673F3">
        <w:trPr>
          <w:trHeight w:val="375"/>
        </w:trPr>
        <w:tc>
          <w:tcPr>
            <w:tcW w:w="3205" w:type="dxa"/>
            <w:shd w:val="clear" w:color="auto" w:fill="DDD9C3" w:themeFill="background2" w:themeFillShade="E6"/>
            <w:vAlign w:val="center"/>
          </w:tcPr>
          <w:p w14:paraId="4B710AB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AB53ABE" w14:textId="77777777" w:rsidR="000F4FD4" w:rsidRPr="00F36CD4" w:rsidRDefault="00C86729" w:rsidP="007673F3">
            <w:pPr>
              <w:rPr>
                <w:rFonts w:ascii="Calibri" w:hAnsi="Calibri" w:cs="Arial"/>
                <w:sz w:val="20"/>
                <w:szCs w:val="20"/>
                <w:lang w:val="el-GR"/>
              </w:rPr>
            </w:pPr>
            <w:r>
              <w:rPr>
                <w:rFonts w:ascii="Calibri" w:hAnsi="Calibri" w:cs="Arial"/>
                <w:sz w:val="20"/>
                <w:szCs w:val="20"/>
                <w:lang w:val="el-GR"/>
              </w:rPr>
              <w:t>ΑΣΦΑΛΙΣΕΙΣ ΕΠΙΧΕΙ</w:t>
            </w:r>
            <w:r w:rsidR="00F36CD4">
              <w:rPr>
                <w:rFonts w:ascii="Calibri" w:hAnsi="Calibri" w:cs="Arial"/>
                <w:sz w:val="20"/>
                <w:szCs w:val="20"/>
                <w:lang w:val="el-GR"/>
              </w:rPr>
              <w:t>ΡΗΣΕΩΝ</w:t>
            </w:r>
          </w:p>
        </w:tc>
      </w:tr>
      <w:tr w:rsidR="000F4FD4" w:rsidRPr="00705AAD" w14:paraId="3296BE01" w14:textId="77777777" w:rsidTr="007673F3">
        <w:trPr>
          <w:trHeight w:val="196"/>
        </w:trPr>
        <w:tc>
          <w:tcPr>
            <w:tcW w:w="5637" w:type="dxa"/>
            <w:gridSpan w:val="3"/>
            <w:shd w:val="clear" w:color="auto" w:fill="DDD9C3" w:themeFill="background2" w:themeFillShade="E6"/>
            <w:vAlign w:val="center"/>
          </w:tcPr>
          <w:p w14:paraId="53207EF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0B4743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5DC618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21DD0FAB" w14:textId="77777777" w:rsidTr="007673F3">
        <w:trPr>
          <w:trHeight w:val="194"/>
        </w:trPr>
        <w:tc>
          <w:tcPr>
            <w:tcW w:w="5637" w:type="dxa"/>
            <w:gridSpan w:val="3"/>
          </w:tcPr>
          <w:p w14:paraId="5C040228" w14:textId="77777777" w:rsidR="000F4FD4" w:rsidRPr="00793002" w:rsidRDefault="00C72F68" w:rsidP="007673F3">
            <w:pPr>
              <w:jc w:val="right"/>
              <w:rPr>
                <w:rFonts w:ascii="Calibri" w:hAnsi="Calibri" w:cs="Arial"/>
                <w:color w:val="002060"/>
                <w:sz w:val="20"/>
                <w:szCs w:val="20"/>
                <w:lang w:val="el-GR"/>
              </w:rPr>
            </w:pPr>
            <w:r w:rsidRPr="00793002">
              <w:rPr>
                <w:rFonts w:ascii="Calibri" w:hAnsi="Calibri" w:cs="Arial"/>
                <w:color w:val="002060"/>
                <w:sz w:val="20"/>
                <w:szCs w:val="20"/>
                <w:lang w:val="el-GR"/>
              </w:rPr>
              <w:t>ΔΙΑΛΕΞΕΙΣ</w:t>
            </w:r>
          </w:p>
        </w:tc>
        <w:tc>
          <w:tcPr>
            <w:tcW w:w="1559" w:type="dxa"/>
            <w:gridSpan w:val="2"/>
          </w:tcPr>
          <w:p w14:paraId="20D3918C" w14:textId="77777777" w:rsidR="000F4FD4" w:rsidRPr="00793002" w:rsidRDefault="00C72F68" w:rsidP="007673F3">
            <w:pPr>
              <w:jc w:val="center"/>
              <w:rPr>
                <w:rFonts w:ascii="Calibri" w:hAnsi="Calibri" w:cs="Arial"/>
                <w:color w:val="002060"/>
                <w:sz w:val="20"/>
                <w:szCs w:val="20"/>
                <w:lang w:val="el-GR"/>
              </w:rPr>
            </w:pPr>
            <w:r w:rsidRPr="00793002">
              <w:rPr>
                <w:rFonts w:ascii="Calibri" w:hAnsi="Calibri" w:cs="Arial"/>
                <w:color w:val="002060"/>
                <w:sz w:val="20"/>
                <w:szCs w:val="20"/>
                <w:lang w:val="el-GR"/>
              </w:rPr>
              <w:t>4</w:t>
            </w:r>
          </w:p>
        </w:tc>
        <w:tc>
          <w:tcPr>
            <w:tcW w:w="1240" w:type="dxa"/>
          </w:tcPr>
          <w:p w14:paraId="6F83799B" w14:textId="77777777" w:rsidR="000F4FD4" w:rsidRPr="00793002" w:rsidRDefault="00793002" w:rsidP="007673F3">
            <w:pPr>
              <w:jc w:val="center"/>
              <w:rPr>
                <w:rFonts w:ascii="Calibri" w:hAnsi="Calibri" w:cs="Arial"/>
                <w:color w:val="002060"/>
                <w:sz w:val="20"/>
                <w:szCs w:val="20"/>
                <w:lang w:val="el-GR"/>
              </w:rPr>
            </w:pPr>
            <w:r w:rsidRPr="00793002">
              <w:rPr>
                <w:rFonts w:ascii="Calibri" w:hAnsi="Calibri" w:cs="Arial"/>
                <w:color w:val="002060"/>
                <w:sz w:val="20"/>
                <w:szCs w:val="20"/>
                <w:lang w:val="el-GR"/>
              </w:rPr>
              <w:t>6</w:t>
            </w:r>
          </w:p>
        </w:tc>
      </w:tr>
      <w:tr w:rsidR="000F4FD4" w:rsidRPr="00705AAD" w14:paraId="4378E23B" w14:textId="77777777" w:rsidTr="007673F3">
        <w:trPr>
          <w:trHeight w:val="194"/>
        </w:trPr>
        <w:tc>
          <w:tcPr>
            <w:tcW w:w="5637" w:type="dxa"/>
            <w:gridSpan w:val="3"/>
          </w:tcPr>
          <w:p w14:paraId="38AEDD60" w14:textId="77777777" w:rsidR="000F4FD4" w:rsidRPr="00793002" w:rsidRDefault="000F4FD4" w:rsidP="007673F3">
            <w:pPr>
              <w:jc w:val="right"/>
              <w:rPr>
                <w:rFonts w:ascii="Calibri" w:hAnsi="Calibri" w:cs="Arial"/>
                <w:b/>
                <w:color w:val="002060"/>
                <w:sz w:val="20"/>
                <w:szCs w:val="20"/>
                <w:lang w:val="el-GR"/>
              </w:rPr>
            </w:pPr>
          </w:p>
        </w:tc>
        <w:tc>
          <w:tcPr>
            <w:tcW w:w="1559" w:type="dxa"/>
            <w:gridSpan w:val="2"/>
          </w:tcPr>
          <w:p w14:paraId="276F85F1" w14:textId="77777777" w:rsidR="000F4FD4" w:rsidRPr="00793002" w:rsidRDefault="000F4FD4" w:rsidP="007673F3">
            <w:pPr>
              <w:jc w:val="right"/>
              <w:rPr>
                <w:rFonts w:ascii="Calibri" w:hAnsi="Calibri" w:cs="Arial"/>
                <w:color w:val="002060"/>
                <w:sz w:val="20"/>
                <w:szCs w:val="20"/>
                <w:lang w:val="el-GR"/>
              </w:rPr>
            </w:pPr>
          </w:p>
        </w:tc>
        <w:tc>
          <w:tcPr>
            <w:tcW w:w="1240" w:type="dxa"/>
          </w:tcPr>
          <w:p w14:paraId="7C722EC3" w14:textId="77777777" w:rsidR="000F4FD4" w:rsidRPr="00793002" w:rsidRDefault="000F4FD4" w:rsidP="007673F3">
            <w:pPr>
              <w:rPr>
                <w:rFonts w:ascii="Calibri" w:hAnsi="Calibri" w:cs="Arial"/>
                <w:color w:val="002060"/>
                <w:sz w:val="20"/>
                <w:szCs w:val="20"/>
                <w:lang w:val="el-GR"/>
              </w:rPr>
            </w:pPr>
          </w:p>
        </w:tc>
      </w:tr>
      <w:tr w:rsidR="000F4FD4" w:rsidRPr="00705AAD" w14:paraId="5FAD07A7" w14:textId="77777777" w:rsidTr="007673F3">
        <w:trPr>
          <w:trHeight w:val="194"/>
        </w:trPr>
        <w:tc>
          <w:tcPr>
            <w:tcW w:w="5637" w:type="dxa"/>
            <w:gridSpan w:val="3"/>
          </w:tcPr>
          <w:p w14:paraId="0F8BC0C9"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F6FA03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861EC24" w14:textId="77777777" w:rsidR="000F4FD4" w:rsidRPr="00705AAD" w:rsidRDefault="000F4FD4" w:rsidP="007673F3">
            <w:pPr>
              <w:rPr>
                <w:rFonts w:ascii="Calibri" w:hAnsi="Calibri" w:cs="Arial"/>
                <w:color w:val="002060"/>
                <w:sz w:val="20"/>
                <w:szCs w:val="20"/>
                <w:lang w:val="el-GR"/>
              </w:rPr>
            </w:pPr>
          </w:p>
        </w:tc>
      </w:tr>
      <w:tr w:rsidR="000F4FD4" w:rsidRPr="00A46F73" w14:paraId="1A7D0A7D" w14:textId="77777777" w:rsidTr="007673F3">
        <w:trPr>
          <w:trHeight w:val="194"/>
        </w:trPr>
        <w:tc>
          <w:tcPr>
            <w:tcW w:w="5637" w:type="dxa"/>
            <w:gridSpan w:val="3"/>
            <w:shd w:val="clear" w:color="auto" w:fill="DDD9C3" w:themeFill="background2" w:themeFillShade="E6"/>
          </w:tcPr>
          <w:p w14:paraId="0C0B8523"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0FF3FA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B3A668D" w14:textId="77777777" w:rsidR="000F4FD4" w:rsidRPr="00705AAD" w:rsidRDefault="000F4FD4" w:rsidP="007673F3">
            <w:pPr>
              <w:rPr>
                <w:rFonts w:ascii="Calibri" w:hAnsi="Calibri" w:cs="Arial"/>
                <w:color w:val="002060"/>
                <w:sz w:val="20"/>
                <w:szCs w:val="20"/>
                <w:lang w:val="el-GR"/>
              </w:rPr>
            </w:pPr>
          </w:p>
        </w:tc>
      </w:tr>
      <w:tr w:rsidR="000F4FD4" w:rsidRPr="007E6482" w14:paraId="4E3C100A" w14:textId="77777777" w:rsidTr="007673F3">
        <w:trPr>
          <w:trHeight w:val="599"/>
        </w:trPr>
        <w:tc>
          <w:tcPr>
            <w:tcW w:w="3205" w:type="dxa"/>
            <w:shd w:val="clear" w:color="auto" w:fill="DDD9C3" w:themeFill="background2" w:themeFillShade="E6"/>
          </w:tcPr>
          <w:p w14:paraId="4A081A0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33DB565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08CDCC5"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6FE20C6" w14:textId="77777777"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705AAD" w14:paraId="3C295D8C" w14:textId="77777777" w:rsidTr="007673F3">
        <w:tc>
          <w:tcPr>
            <w:tcW w:w="3205" w:type="dxa"/>
            <w:shd w:val="clear" w:color="auto" w:fill="DDD9C3" w:themeFill="background2" w:themeFillShade="E6"/>
          </w:tcPr>
          <w:p w14:paraId="7140393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7DF7D7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3DD4EEA" w14:textId="77777777"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ΕΙΣΑΓΩΓΗ ΣΤΗΝ ΑΣΦΑΛΙΣΗ</w:t>
            </w:r>
          </w:p>
        </w:tc>
      </w:tr>
      <w:tr w:rsidR="000F4FD4" w:rsidRPr="00705AAD" w14:paraId="4BAC057F" w14:textId="77777777" w:rsidTr="007673F3">
        <w:tc>
          <w:tcPr>
            <w:tcW w:w="3205" w:type="dxa"/>
            <w:shd w:val="clear" w:color="auto" w:fill="DDD9C3" w:themeFill="background2" w:themeFillShade="E6"/>
          </w:tcPr>
          <w:p w14:paraId="19F684FA"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1581861" w14:textId="77777777" w:rsidR="000F4FD4" w:rsidRPr="00F36CD4" w:rsidRDefault="00F36CD4"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F36CD4" w14:paraId="51532898" w14:textId="77777777" w:rsidTr="007673F3">
        <w:tc>
          <w:tcPr>
            <w:tcW w:w="3205" w:type="dxa"/>
            <w:shd w:val="clear" w:color="auto" w:fill="DDD9C3" w:themeFill="background2" w:themeFillShade="E6"/>
          </w:tcPr>
          <w:p w14:paraId="215BC5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8A87311" w14:textId="77777777"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6FADC0DD" w14:textId="77777777" w:rsidTr="007673F3">
        <w:tc>
          <w:tcPr>
            <w:tcW w:w="3205" w:type="dxa"/>
            <w:shd w:val="clear" w:color="auto" w:fill="DDD9C3" w:themeFill="background2" w:themeFillShade="E6"/>
          </w:tcPr>
          <w:p w14:paraId="7E492BC0"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8207177" w14:textId="0C23DEDE" w:rsidR="000F4FD4" w:rsidRPr="00A46F73" w:rsidRDefault="00A46F73" w:rsidP="007673F3">
            <w:pPr>
              <w:spacing w:after="200" w:line="276" w:lineRule="auto"/>
              <w:rPr>
                <w:rFonts w:ascii="Calibri" w:eastAsia="Calibri" w:hAnsi="Calibri" w:cs="Arial"/>
                <w:color w:val="002060"/>
                <w:sz w:val="20"/>
                <w:szCs w:val="20"/>
              </w:rPr>
            </w:pPr>
            <w:hyperlink r:id="rId7" w:history="1">
              <w:r w:rsidRPr="00A46F73">
                <w:rPr>
                  <w:rStyle w:val="Hyperlink"/>
                  <w:rFonts w:ascii="Calibri" w:eastAsia="Calibri" w:hAnsi="Calibri" w:cs="Arial"/>
                  <w:sz w:val="20"/>
                  <w:szCs w:val="20"/>
                  <w:lang w:val="en-GB"/>
                </w:rPr>
                <w:t>https://eclass.unipi.gr/courses/SAE185/</w:t>
              </w:r>
            </w:hyperlink>
            <w:r>
              <w:rPr>
                <w:rFonts w:ascii="Calibri" w:eastAsia="Calibri" w:hAnsi="Calibri" w:cs="Arial"/>
                <w:color w:val="002060"/>
                <w:sz w:val="20"/>
                <w:szCs w:val="20"/>
              </w:rPr>
              <w:t xml:space="preserve"> </w:t>
            </w:r>
          </w:p>
        </w:tc>
      </w:tr>
    </w:tbl>
    <w:p w14:paraId="77CCC7E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6D6FC4BE" w14:textId="77777777" w:rsidTr="00305D37">
        <w:tc>
          <w:tcPr>
            <w:tcW w:w="8472" w:type="dxa"/>
            <w:gridSpan w:val="2"/>
            <w:tcBorders>
              <w:bottom w:val="nil"/>
            </w:tcBorders>
            <w:shd w:val="clear" w:color="auto" w:fill="DDD9C3" w:themeFill="background2" w:themeFillShade="E6"/>
          </w:tcPr>
          <w:p w14:paraId="061EFA2A"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46F73" w14:paraId="1A9910D6" w14:textId="77777777" w:rsidTr="00305D37">
        <w:tc>
          <w:tcPr>
            <w:tcW w:w="8472" w:type="dxa"/>
            <w:gridSpan w:val="2"/>
            <w:tcBorders>
              <w:top w:val="nil"/>
            </w:tcBorders>
            <w:shd w:val="clear" w:color="auto" w:fill="DDD9C3" w:themeFill="background2" w:themeFillShade="E6"/>
          </w:tcPr>
          <w:p w14:paraId="73DBA2A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FC0E2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FB6CEA6"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32274CC"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BE77C52"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D65B0" w14:paraId="1A64DEDD" w14:textId="77777777" w:rsidTr="00305D37">
        <w:tc>
          <w:tcPr>
            <w:tcW w:w="8472" w:type="dxa"/>
            <w:gridSpan w:val="2"/>
          </w:tcPr>
          <w:p w14:paraId="7D279A4F"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7357CE38" w14:textId="77777777" w:rsidR="006B5FD1" w:rsidRPr="006B5FD1" w:rsidRDefault="006B5FD1" w:rsidP="006B5FD1">
            <w:pPr>
              <w:spacing w:before="60" w:after="60"/>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Με την ολοκλήρωση αυτής της θεματικής ενότητας, οι φοιτητές θα μπορούν:</w:t>
            </w:r>
          </w:p>
          <w:p w14:paraId="0A8F2E90"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Να εντοπίζουν, αναγνωρίζουν και ποσοτικοποιούν τα ζημιογόνα ενδεχόμενα των επιχειρήσεων.</w:t>
            </w:r>
          </w:p>
          <w:p w14:paraId="31F9F34D"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Να χρησιμοποιούν τα κατάλληλα ασφαλιστικά προϊόντα για κάθε κίνδυνο</w:t>
            </w:r>
          </w:p>
          <w:p w14:paraId="5CF79229"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 xml:space="preserve">Να γνωρίζουν πως υπολογίζονται τα ασφάλιστρα για κάθε κίνδυνο. </w:t>
            </w:r>
          </w:p>
          <w:p w14:paraId="20AF09C9"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 xml:space="preserve">Να γνωρίζουν την έκταση των κινδύνων που μπορούν να διακρατούν οι επιχειρήσεις. </w:t>
            </w:r>
          </w:p>
          <w:p w14:paraId="76172428"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Να διακρίνουν  την χρησιμότητα των πολλαπλών ασφαλιστηρίων, καθώς και τα οφέλη/προβλήματα που προκύπτουν από την χρήση τους.</w:t>
            </w:r>
          </w:p>
          <w:p w14:paraId="70D2FEF3" w14:textId="77777777" w:rsidR="006B5FD1" w:rsidRPr="006B5FD1" w:rsidRDefault="006B5FD1" w:rsidP="006B5FD1">
            <w:pPr>
              <w:numPr>
                <w:ilvl w:val="0"/>
                <w:numId w:val="46"/>
              </w:numPr>
              <w:spacing w:before="60" w:after="60" w:line="276" w:lineRule="auto"/>
              <w:rPr>
                <w:rFonts w:ascii="Arial Narrow" w:eastAsia="Calibri" w:hAnsi="Arial Narrow" w:cs="Arial Narrow"/>
                <w:i/>
                <w:iCs/>
                <w:sz w:val="20"/>
                <w:szCs w:val="20"/>
                <w:lang w:val="el-GR"/>
              </w:rPr>
            </w:pPr>
            <w:r w:rsidRPr="006B5FD1">
              <w:rPr>
                <w:rFonts w:ascii="Arial Narrow" w:eastAsia="Calibri" w:hAnsi="Arial Narrow" w:cs="Arial Narrow"/>
                <w:i/>
                <w:iCs/>
                <w:sz w:val="20"/>
                <w:szCs w:val="20"/>
                <w:lang w:val="el-GR"/>
              </w:rPr>
              <w:t>Να έχουν μια ευρύτερη διεθνή προοπτική των εμπορικών εξελίξεων και την συνάρτησή τους με την διαχείριση κινδύνων επιχειρήσεων.</w:t>
            </w:r>
          </w:p>
          <w:p w14:paraId="698BAA2F" w14:textId="77777777" w:rsidR="000F4FD4" w:rsidRPr="00C72F68" w:rsidRDefault="006B5FD1" w:rsidP="00305D37">
            <w:pPr>
              <w:widowControl w:val="0"/>
              <w:numPr>
                <w:ilvl w:val="0"/>
                <w:numId w:val="46"/>
              </w:numPr>
              <w:autoSpaceDE w:val="0"/>
              <w:autoSpaceDN w:val="0"/>
              <w:adjustRightInd w:val="0"/>
              <w:spacing w:before="60" w:after="60" w:line="276" w:lineRule="auto"/>
              <w:rPr>
                <w:rFonts w:ascii="Calibri" w:eastAsia="Calibri" w:hAnsi="Calibri"/>
                <w:b/>
                <w:color w:val="002060"/>
                <w:lang w:val="el-GR"/>
              </w:rPr>
            </w:pPr>
            <w:r w:rsidRPr="00C72F68">
              <w:rPr>
                <w:rFonts w:ascii="Arial Narrow" w:eastAsia="Calibri" w:hAnsi="Arial Narrow" w:cs="Arial Narrow"/>
                <w:i/>
                <w:iCs/>
                <w:sz w:val="20"/>
                <w:szCs w:val="20"/>
                <w:lang w:val="el-GR"/>
              </w:rPr>
              <w:t xml:space="preserve">Να γνωρίζουν τις διεθνείς συμβάσεις για τις αστικές ευθύνες από τα ελαττωματικά </w:t>
            </w:r>
            <w:r w:rsidRPr="00C72F68">
              <w:rPr>
                <w:rFonts w:ascii="Arial Narrow" w:eastAsia="Calibri" w:hAnsi="Arial Narrow" w:cs="Arial Narrow"/>
                <w:i/>
                <w:iCs/>
                <w:sz w:val="20"/>
                <w:szCs w:val="20"/>
                <w:lang w:val="el-GR"/>
              </w:rPr>
              <w:lastRenderedPageBreak/>
              <w:t xml:space="preserve">προϊόντα, τις διεθνείς μεταφορές, την προστασία του περιβάλλοντος.     </w:t>
            </w:r>
          </w:p>
          <w:p w14:paraId="2E0CBB4C"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397A0D81"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1CF58E1B"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AC68553"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D65B0" w14:paraId="684B9F1B" w14:textId="77777777" w:rsidTr="00305D37">
        <w:tc>
          <w:tcPr>
            <w:tcW w:w="8472" w:type="dxa"/>
            <w:gridSpan w:val="2"/>
            <w:tcBorders>
              <w:top w:val="nil"/>
              <w:bottom w:val="nil"/>
            </w:tcBorders>
            <w:shd w:val="clear" w:color="auto" w:fill="DDD9C3" w:themeFill="background2" w:themeFillShade="E6"/>
          </w:tcPr>
          <w:p w14:paraId="13596A3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63BA099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823CF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0E3569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C7E06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9C2707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36217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52B28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3CE70E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1CF29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389917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F9F616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50692D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DF4E3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6D39A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EEBF261"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CBE637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EFB434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85082E3"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D65B0" w14:paraId="2CADF9CB" w14:textId="77777777" w:rsidTr="00305D37">
        <w:tc>
          <w:tcPr>
            <w:tcW w:w="8472" w:type="dxa"/>
            <w:gridSpan w:val="2"/>
            <w:tcBorders>
              <w:bottom w:val="single" w:sz="4" w:space="0" w:color="auto"/>
            </w:tcBorders>
          </w:tcPr>
          <w:p w14:paraId="730FD35A" w14:textId="77777777" w:rsidR="000F4FD4" w:rsidRPr="00705AAD" w:rsidRDefault="000F4FD4" w:rsidP="00305D37">
            <w:pPr>
              <w:rPr>
                <w:rFonts w:ascii="Calibri" w:hAnsi="Calibri" w:cs="Arial"/>
                <w:color w:val="002060"/>
                <w:sz w:val="20"/>
                <w:szCs w:val="20"/>
                <w:lang w:val="el-GR"/>
              </w:rPr>
            </w:pPr>
          </w:p>
          <w:p w14:paraId="412C258C" w14:textId="77777777" w:rsidR="006B5FD1" w:rsidRPr="006B5FD1" w:rsidRDefault="006B5FD1" w:rsidP="006B5FD1">
            <w:pPr>
              <w:ind w:left="360"/>
              <w:rPr>
                <w:rFonts w:ascii="Arial Narrow" w:eastAsia="Calibri" w:hAnsi="Arial Narrow" w:cs="Arial Narrow"/>
                <w:lang w:val="el-GR"/>
              </w:rPr>
            </w:pPr>
            <w:r w:rsidRPr="006B5FD1">
              <w:rPr>
                <w:rFonts w:ascii="Arial Narrow" w:eastAsia="Calibri" w:hAnsi="Arial Narrow" w:cs="Arial Narrow"/>
                <w:lang w:val="el-GR"/>
              </w:rPr>
              <w:t>Σε αυτή την θεματική ενότητα η έμφαση είναι στην τεράστια ποικιλία των ασφαλιστικών προϊόντων που είναι διαθέσιμα για την κάλυψη των κινδύνων των επιχειρήσεων. Τα ασφαλιστικά προϊόντα ταξινομούνται και αναλύονται σε βάθος στα ιδιαίτερα χαρακτηριστικά τους. Δίνεται ιδιαίτερη σημασία στην ασφαλισιμότητα των κινδύνων επιχειρήσεων και στους όρους και προβλέψεις των ασφαλιστηρίων συμβολαίων που έχουν αναπτυχθεί για να αντιμετωπίζουν τα γνωστά προβλήματα της αντεπιλογής και του ηθικού κινδύνου.</w:t>
            </w:r>
          </w:p>
          <w:p w14:paraId="55A93D75" w14:textId="77777777" w:rsidR="000F4FD4" w:rsidRDefault="006B5FD1" w:rsidP="00C72F68">
            <w:pPr>
              <w:ind w:left="360"/>
              <w:rPr>
                <w:rFonts w:ascii="Calibri" w:eastAsia="Calibri" w:hAnsi="Calibri"/>
                <w:color w:val="002060"/>
                <w:lang w:val="el-GR"/>
              </w:rPr>
            </w:pPr>
            <w:r w:rsidRPr="006B5FD1">
              <w:rPr>
                <w:rFonts w:ascii="Arial Narrow" w:eastAsia="Calibri" w:hAnsi="Arial Narrow" w:cs="Arial Narrow"/>
                <w:lang w:val="el-GR"/>
              </w:rPr>
              <w:t xml:space="preserve">Μεγάλο μέρος της θεματικής ενότητας αφιερώνεται στην οικονομική ανάλυση των κινδύνων αστικών ευθυνών και στη σχέση τους με την παράλληλη λειτουργία του συστήματος της δικαιοσύνης.  Οι επιχειρήσεις αντιμετωπίζουν μια συνεχή διεύρυνση του αριθμού των κινδύνων αστικών ευθυνών και, επομένως, πρέπει να αναπτύσσονται τα αντίστοιχα ασφαλιστικά προϊόντα.   </w:t>
            </w:r>
          </w:p>
          <w:p w14:paraId="58A783ED"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2D7CED7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2954B03F"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0FA3003"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910B5BD"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18D48C"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09EE43E"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AA6C8C9"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B718B95"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E048E53"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FD4CCA9"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1BC4650"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EE23984"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C5373F"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3E551DE"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F826D4A"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9A7A034" w14:textId="77777777"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EB9A915" w14:textId="77777777" w:rsidR="000F4FD4" w:rsidRPr="00705AAD"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D65B0" w14:paraId="1283F9A7" w14:textId="77777777" w:rsidTr="007673F3">
        <w:tc>
          <w:tcPr>
            <w:tcW w:w="8472" w:type="dxa"/>
          </w:tcPr>
          <w:p w14:paraId="53985B53" w14:textId="77777777" w:rsidR="006B5FD1" w:rsidRPr="00890365" w:rsidRDefault="006B5FD1" w:rsidP="006B5FD1">
            <w:pPr>
              <w:pStyle w:val="NormalWeb"/>
              <w:shd w:val="clear" w:color="auto" w:fill="FFFFFF"/>
              <w:spacing w:before="225" w:beforeAutospacing="0" w:after="225" w:afterAutospacing="0"/>
              <w:rPr>
                <w:color w:val="003366"/>
                <w:sz w:val="23"/>
                <w:szCs w:val="23"/>
              </w:rPr>
            </w:pPr>
            <w:r w:rsidRPr="00890365">
              <w:rPr>
                <w:color w:val="003366"/>
                <w:sz w:val="23"/>
                <w:szCs w:val="23"/>
              </w:rPr>
              <w:t>Στο πρώτο μέρος του μαθήματος παρουσιάζεται η μεθοδολογία της διαχείρισης των κινδύνων και τεκμηριώνεται η επίδραση της λειτουργίας αυτής στην αξία των επιχειρήσεων. Αναπτύσσονται οι εναλλακτικές μέθοδοι χρηματοδότησης των ζημιών των επιχειρήσεων, με ιδιαίτερη έμφαση στις μεθόδους κράτησης και αυτασφάλισης των κινδύνων καθώς και στην αντασφάλιση.</w:t>
            </w:r>
          </w:p>
          <w:p w14:paraId="16F4710C" w14:textId="77777777" w:rsidR="006B5FD1" w:rsidRPr="00890365" w:rsidRDefault="006B5FD1" w:rsidP="006B5FD1">
            <w:pPr>
              <w:pStyle w:val="NormalWeb"/>
              <w:shd w:val="clear" w:color="auto" w:fill="FFFFFF"/>
              <w:spacing w:before="225" w:beforeAutospacing="0" w:after="225" w:afterAutospacing="0"/>
              <w:rPr>
                <w:color w:val="003366"/>
                <w:sz w:val="23"/>
                <w:szCs w:val="23"/>
              </w:rPr>
            </w:pPr>
            <w:r w:rsidRPr="00890365">
              <w:rPr>
                <w:color w:val="003366"/>
                <w:sz w:val="23"/>
                <w:szCs w:val="23"/>
              </w:rPr>
              <w:t>Στο</w:t>
            </w:r>
            <w:r w:rsidR="00CD4867">
              <w:rPr>
                <w:color w:val="003366"/>
                <w:sz w:val="23"/>
                <w:szCs w:val="23"/>
              </w:rPr>
              <w:t xml:space="preserve"> </w:t>
            </w:r>
            <w:r w:rsidRPr="00890365">
              <w:rPr>
                <w:color w:val="003366"/>
                <w:sz w:val="23"/>
                <w:szCs w:val="23"/>
              </w:rPr>
              <w:t>δεύτερο μέρος αναλύονται εξειδικευμένες ασφαλιστικές διαδικασίες που έχουν ιδιαίτερο ενδιαφέρον για τους διαχειριστές κινδύνων επιχειρήσεων, όπως είναι η τιμολόγηση των κινδύνων και η δομή των ασφαλιστηρίων συμβολαίων.</w:t>
            </w:r>
          </w:p>
          <w:p w14:paraId="3AA1906F" w14:textId="77777777" w:rsidR="006B5FD1" w:rsidRPr="00890365" w:rsidRDefault="006B5FD1" w:rsidP="006B5FD1">
            <w:pPr>
              <w:pStyle w:val="NormalWeb"/>
              <w:shd w:val="clear" w:color="auto" w:fill="FFFFFF"/>
              <w:spacing w:before="225" w:beforeAutospacing="0" w:after="225" w:afterAutospacing="0"/>
              <w:rPr>
                <w:rFonts w:cs="Calibri"/>
                <w:color w:val="003366"/>
                <w:sz w:val="23"/>
                <w:szCs w:val="23"/>
              </w:rPr>
            </w:pPr>
            <w:r w:rsidRPr="00890365">
              <w:rPr>
                <w:color w:val="003366"/>
                <w:sz w:val="23"/>
                <w:szCs w:val="23"/>
              </w:rPr>
              <w:t>Στο τρίτο</w:t>
            </w:r>
            <w:r w:rsidR="00CD4867">
              <w:rPr>
                <w:color w:val="003366"/>
                <w:sz w:val="23"/>
                <w:szCs w:val="23"/>
              </w:rPr>
              <w:t xml:space="preserve"> </w:t>
            </w:r>
            <w:r w:rsidRPr="00890365">
              <w:rPr>
                <w:color w:val="003366"/>
                <w:sz w:val="23"/>
                <w:szCs w:val="23"/>
              </w:rPr>
              <w:t>μέρος παρουσιάζονται οι ασφαλίσεις περιουσιακών στοιχείων επιχειρήσεων  και η ανάλυση επεκτείνεται στις ασφαλίσεις διακοπής εργασιών, μεταφορών, καθώς και στις θαλασσασφαλίσεις. Στη συνέχεια αναπτύσσεται η θεωρία και η πρακτική των ασφαλίσεων αστικών ευθυνών και παρουσιάζονται οι ασφαλιστικές καλύψεις: (α)</w:t>
            </w:r>
            <w:r w:rsidRPr="00890365">
              <w:rPr>
                <w:rFonts w:ascii="Helvetica" w:hAnsi="Helvetica" w:cs="Helvetica"/>
                <w:color w:val="003366"/>
                <w:sz w:val="23"/>
                <w:szCs w:val="23"/>
              </w:rPr>
              <w:t xml:space="preserve"> επιχειρήσεων και  επαγγελματιών, (β) εταιρικής ευθύνης προς πελάτες, τρίτους και μετόχους, και (γ) περιβαλλοντικών ζημιών.       </w:t>
            </w:r>
          </w:p>
          <w:p w14:paraId="632EB934" w14:textId="77777777" w:rsidR="000F4FD4" w:rsidRPr="00705AAD" w:rsidRDefault="000F4FD4" w:rsidP="007673F3">
            <w:pPr>
              <w:rPr>
                <w:rFonts w:ascii="Calibri" w:hAnsi="Calibri" w:cs="Arial"/>
                <w:color w:val="002060"/>
                <w:sz w:val="20"/>
                <w:szCs w:val="20"/>
                <w:lang w:val="el-GR"/>
              </w:rPr>
            </w:pPr>
          </w:p>
        </w:tc>
      </w:tr>
    </w:tbl>
    <w:p w14:paraId="6C0D3583" w14:textId="77777777" w:rsidR="00271F7D" w:rsidRDefault="00271F7D">
      <w:pPr>
        <w:rPr>
          <w:rFonts w:ascii="Calibri" w:hAnsi="Calibri" w:cs="Arial"/>
          <w:b/>
          <w:color w:val="000000"/>
          <w:sz w:val="22"/>
          <w:szCs w:val="22"/>
          <w:lang w:val="el-GR"/>
        </w:rPr>
      </w:pPr>
    </w:p>
    <w:p w14:paraId="51CAC51F"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36CD4" w14:paraId="35DD9B50" w14:textId="77777777" w:rsidTr="007673F3">
        <w:tc>
          <w:tcPr>
            <w:tcW w:w="3306" w:type="dxa"/>
            <w:shd w:val="clear" w:color="auto" w:fill="DDD9C3" w:themeFill="background2" w:themeFillShade="E6"/>
          </w:tcPr>
          <w:p w14:paraId="6AF90AB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F1C906D" w14:textId="77777777" w:rsidR="000F4FD4" w:rsidRPr="00705AAD" w:rsidRDefault="006B5FD1" w:rsidP="006B5FD1">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F36CD4" w14:paraId="718B2E1B" w14:textId="77777777" w:rsidTr="007673F3">
        <w:tc>
          <w:tcPr>
            <w:tcW w:w="3306" w:type="dxa"/>
            <w:shd w:val="clear" w:color="auto" w:fill="DDD9C3" w:themeFill="background2" w:themeFillShade="E6"/>
          </w:tcPr>
          <w:p w14:paraId="119C0D5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AB80B03" w14:textId="77777777" w:rsidR="000F4FD4" w:rsidRPr="00F72B38" w:rsidRDefault="006B5FD1" w:rsidP="006B5FD1">
            <w:pPr>
              <w:rPr>
                <w:rFonts w:ascii="Calibri" w:hAnsi="Calibri" w:cs="Arial"/>
                <w:b/>
                <w:color w:val="002060"/>
                <w:sz w:val="20"/>
                <w:szCs w:val="20"/>
                <w:lang w:val="el-GR"/>
              </w:rPr>
            </w:pPr>
            <w:r>
              <w:rPr>
                <w:rFonts w:ascii="Calibri" w:hAnsi="Calibri" w:cs="Arial"/>
                <w:b/>
                <w:color w:val="002060"/>
                <w:sz w:val="20"/>
                <w:szCs w:val="20"/>
                <w:lang w:val="el-GR"/>
              </w:rPr>
              <w:t>Χρήση ΤΠΕ</w:t>
            </w:r>
          </w:p>
        </w:tc>
      </w:tr>
      <w:tr w:rsidR="000F4FD4" w:rsidRPr="00705AAD" w14:paraId="6A98D6FC" w14:textId="77777777" w:rsidTr="007673F3">
        <w:tc>
          <w:tcPr>
            <w:tcW w:w="3306" w:type="dxa"/>
            <w:shd w:val="clear" w:color="auto" w:fill="DDD9C3" w:themeFill="background2" w:themeFillShade="E6"/>
          </w:tcPr>
          <w:p w14:paraId="0374AE9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E5B404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DBCF68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54B3924" w14:textId="77777777" w:rsidR="000F4FD4" w:rsidRPr="00705AAD" w:rsidRDefault="000F4FD4" w:rsidP="007673F3">
            <w:pPr>
              <w:jc w:val="both"/>
              <w:rPr>
                <w:rFonts w:ascii="Calibri" w:hAnsi="Calibri" w:cs="Arial"/>
                <w:i/>
                <w:sz w:val="16"/>
                <w:szCs w:val="16"/>
                <w:lang w:val="el-GR"/>
              </w:rPr>
            </w:pPr>
          </w:p>
          <w:p w14:paraId="41DC03A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95361C6" w14:textId="77777777" w:rsidTr="007673F3">
              <w:tc>
                <w:tcPr>
                  <w:tcW w:w="2467" w:type="dxa"/>
                  <w:shd w:val="clear" w:color="auto" w:fill="DDD9C3" w:themeFill="background2" w:themeFillShade="E6"/>
                  <w:vAlign w:val="center"/>
                </w:tcPr>
                <w:p w14:paraId="3084F4E3"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77B36C6C"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21263E6A" w14:textId="77777777" w:rsidTr="007673F3">
              <w:tc>
                <w:tcPr>
                  <w:tcW w:w="2467" w:type="dxa"/>
                </w:tcPr>
                <w:p w14:paraId="4EDAAA31" w14:textId="77777777" w:rsidR="000F4FD4" w:rsidRPr="00705AAD" w:rsidRDefault="008D3B06"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35BFFBA8" w14:textId="7FE5E188" w:rsidR="000F4FD4" w:rsidRPr="005D65B0" w:rsidRDefault="005D65B0" w:rsidP="007673F3">
                  <w:pPr>
                    <w:jc w:val="center"/>
                    <w:rPr>
                      <w:rFonts w:ascii="Calibri" w:hAnsi="Calibri" w:cs="Arial"/>
                      <w:color w:val="002060"/>
                      <w:sz w:val="20"/>
                      <w:szCs w:val="20"/>
                    </w:rPr>
                  </w:pPr>
                  <w:r>
                    <w:rPr>
                      <w:rFonts w:ascii="Calibri" w:hAnsi="Calibri" w:cs="Arial"/>
                      <w:color w:val="002060"/>
                      <w:sz w:val="20"/>
                      <w:szCs w:val="20"/>
                    </w:rPr>
                    <w:t>52</w:t>
                  </w:r>
                </w:p>
              </w:tc>
            </w:tr>
            <w:tr w:rsidR="000F4FD4" w:rsidRPr="00705AAD" w14:paraId="28CB3813" w14:textId="77777777" w:rsidTr="007673F3">
              <w:tc>
                <w:tcPr>
                  <w:tcW w:w="2467" w:type="dxa"/>
                  <w:shd w:val="clear" w:color="auto" w:fill="auto"/>
                </w:tcPr>
                <w:p w14:paraId="53352EF1" w14:textId="77777777" w:rsidR="000F4FD4" w:rsidRPr="008D3B06" w:rsidRDefault="008D3B06" w:rsidP="007673F3">
                  <w:pPr>
                    <w:rPr>
                      <w:rFonts w:ascii="Calibri" w:hAnsi="Calibri"/>
                      <w:iCs/>
                      <w:color w:val="002060"/>
                      <w:sz w:val="22"/>
                      <w:szCs w:val="22"/>
                      <w:lang w:val="el-GR"/>
                    </w:rPr>
                  </w:pPr>
                  <w:r>
                    <w:rPr>
                      <w:rFonts w:ascii="Calibri" w:hAnsi="Calibri"/>
                      <w:iCs/>
                      <w:color w:val="002060"/>
                      <w:sz w:val="22"/>
                      <w:szCs w:val="22"/>
                      <w:lang w:val="el-GR"/>
                    </w:rPr>
                    <w:t>Εργασίες</w:t>
                  </w:r>
                </w:p>
              </w:tc>
              <w:tc>
                <w:tcPr>
                  <w:tcW w:w="2468" w:type="dxa"/>
                </w:tcPr>
                <w:p w14:paraId="3A56A380" w14:textId="77777777" w:rsidR="000F4FD4" w:rsidRPr="00705AAD" w:rsidRDefault="00827F94" w:rsidP="007673F3">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0F4FD4" w:rsidRPr="00705AAD" w14:paraId="746C0CA1" w14:textId="77777777" w:rsidTr="007673F3">
              <w:tc>
                <w:tcPr>
                  <w:tcW w:w="2467" w:type="dxa"/>
                  <w:shd w:val="clear" w:color="auto" w:fill="auto"/>
                </w:tcPr>
                <w:p w14:paraId="1732EAD3" w14:textId="77777777" w:rsidR="000F4FD4" w:rsidRPr="00705AAD" w:rsidRDefault="008D3B06"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176763CA" w14:textId="7E603648" w:rsidR="000F4FD4" w:rsidRPr="005D65B0" w:rsidRDefault="005D65B0" w:rsidP="007673F3">
                  <w:pPr>
                    <w:jc w:val="center"/>
                    <w:rPr>
                      <w:rFonts w:ascii="Calibri" w:hAnsi="Calibri" w:cs="Arial"/>
                      <w:color w:val="002060"/>
                      <w:sz w:val="20"/>
                      <w:szCs w:val="20"/>
                    </w:rPr>
                  </w:pPr>
                  <w:r>
                    <w:rPr>
                      <w:rFonts w:ascii="Calibri" w:hAnsi="Calibri" w:cs="Arial"/>
                      <w:color w:val="002060"/>
                      <w:sz w:val="20"/>
                      <w:szCs w:val="20"/>
                    </w:rPr>
                    <w:t>86</w:t>
                  </w:r>
                </w:p>
              </w:tc>
            </w:tr>
            <w:tr w:rsidR="000F4FD4" w:rsidRPr="00705AAD" w14:paraId="647ED893" w14:textId="77777777" w:rsidTr="007673F3">
              <w:tc>
                <w:tcPr>
                  <w:tcW w:w="2467" w:type="dxa"/>
                  <w:shd w:val="clear" w:color="auto" w:fill="auto"/>
                </w:tcPr>
                <w:p w14:paraId="702D6AEE" w14:textId="77777777" w:rsidR="000F4FD4" w:rsidRPr="00705AAD" w:rsidRDefault="000F4FD4" w:rsidP="007673F3">
                  <w:pPr>
                    <w:rPr>
                      <w:rFonts w:ascii="Calibri" w:hAnsi="Calibri"/>
                      <w:iCs/>
                      <w:color w:val="002060"/>
                      <w:sz w:val="22"/>
                      <w:szCs w:val="22"/>
                    </w:rPr>
                  </w:pPr>
                </w:p>
              </w:tc>
              <w:tc>
                <w:tcPr>
                  <w:tcW w:w="2468" w:type="dxa"/>
                </w:tcPr>
                <w:p w14:paraId="196C22C7"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5A3A6F0E" w14:textId="77777777" w:rsidTr="007673F3">
              <w:tc>
                <w:tcPr>
                  <w:tcW w:w="2467" w:type="dxa"/>
                  <w:shd w:val="clear" w:color="auto" w:fill="auto"/>
                </w:tcPr>
                <w:p w14:paraId="714766A7" w14:textId="77777777" w:rsidR="000F4FD4" w:rsidRPr="00705AAD" w:rsidRDefault="000F4FD4" w:rsidP="007673F3">
                  <w:pPr>
                    <w:rPr>
                      <w:rFonts w:ascii="Calibri" w:hAnsi="Calibri"/>
                      <w:iCs/>
                      <w:color w:val="002060"/>
                      <w:sz w:val="22"/>
                      <w:szCs w:val="22"/>
                      <w:lang w:val="el-GR"/>
                    </w:rPr>
                  </w:pPr>
                </w:p>
              </w:tc>
              <w:tc>
                <w:tcPr>
                  <w:tcW w:w="2468" w:type="dxa"/>
                </w:tcPr>
                <w:p w14:paraId="5B39FA0B"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2AE433DC" w14:textId="77777777" w:rsidTr="007673F3">
              <w:tc>
                <w:tcPr>
                  <w:tcW w:w="2467" w:type="dxa"/>
                  <w:shd w:val="clear" w:color="auto" w:fill="auto"/>
                </w:tcPr>
                <w:p w14:paraId="0EC35DFB" w14:textId="77777777" w:rsidR="000F4FD4" w:rsidRPr="00705AAD" w:rsidRDefault="000F4FD4" w:rsidP="007673F3">
                  <w:pPr>
                    <w:rPr>
                      <w:rFonts w:ascii="Calibri" w:hAnsi="Calibri"/>
                      <w:iCs/>
                      <w:color w:val="002060"/>
                      <w:sz w:val="22"/>
                      <w:szCs w:val="22"/>
                    </w:rPr>
                  </w:pPr>
                </w:p>
              </w:tc>
              <w:tc>
                <w:tcPr>
                  <w:tcW w:w="2468" w:type="dxa"/>
                </w:tcPr>
                <w:p w14:paraId="77F91D41" w14:textId="77777777" w:rsidR="000F4FD4" w:rsidRPr="00705AAD" w:rsidRDefault="000F4FD4" w:rsidP="007673F3">
                  <w:pPr>
                    <w:rPr>
                      <w:rFonts w:ascii="Calibri" w:hAnsi="Calibri" w:cs="Arial"/>
                      <w:i/>
                      <w:color w:val="002060"/>
                      <w:sz w:val="16"/>
                      <w:szCs w:val="16"/>
                      <w:lang w:val="el-GR"/>
                    </w:rPr>
                  </w:pPr>
                </w:p>
              </w:tc>
            </w:tr>
            <w:tr w:rsidR="000F4FD4" w:rsidRPr="00705AAD" w14:paraId="485A762A" w14:textId="77777777" w:rsidTr="007673F3">
              <w:tc>
                <w:tcPr>
                  <w:tcW w:w="2467" w:type="dxa"/>
                  <w:shd w:val="clear" w:color="auto" w:fill="auto"/>
                </w:tcPr>
                <w:p w14:paraId="0FA65278" w14:textId="77777777" w:rsidR="000F4FD4" w:rsidRPr="00705AAD" w:rsidRDefault="000F4FD4" w:rsidP="007673F3">
                  <w:pPr>
                    <w:rPr>
                      <w:rFonts w:ascii="Calibri" w:hAnsi="Calibri"/>
                      <w:iCs/>
                      <w:color w:val="002060"/>
                      <w:sz w:val="22"/>
                      <w:szCs w:val="22"/>
                    </w:rPr>
                  </w:pPr>
                </w:p>
              </w:tc>
              <w:tc>
                <w:tcPr>
                  <w:tcW w:w="2468" w:type="dxa"/>
                </w:tcPr>
                <w:p w14:paraId="7AB68D5F" w14:textId="77777777" w:rsidR="000F4FD4" w:rsidRPr="00705AAD" w:rsidRDefault="000F4FD4" w:rsidP="007673F3">
                  <w:pPr>
                    <w:rPr>
                      <w:rFonts w:ascii="Calibri" w:hAnsi="Calibri" w:cs="Arial"/>
                      <w:i/>
                      <w:color w:val="002060"/>
                      <w:sz w:val="16"/>
                      <w:szCs w:val="16"/>
                      <w:lang w:val="el-GR"/>
                    </w:rPr>
                  </w:pPr>
                </w:p>
              </w:tc>
            </w:tr>
            <w:tr w:rsidR="000F4FD4" w:rsidRPr="00705AAD" w14:paraId="07CDCB49" w14:textId="77777777" w:rsidTr="007673F3">
              <w:tc>
                <w:tcPr>
                  <w:tcW w:w="2467" w:type="dxa"/>
                  <w:shd w:val="clear" w:color="auto" w:fill="auto"/>
                </w:tcPr>
                <w:p w14:paraId="5173FE73" w14:textId="77777777" w:rsidR="000F4FD4" w:rsidRPr="00705AAD" w:rsidRDefault="000F4FD4" w:rsidP="007673F3">
                  <w:pPr>
                    <w:rPr>
                      <w:rFonts w:ascii="Calibri" w:hAnsi="Calibri"/>
                      <w:iCs/>
                      <w:color w:val="002060"/>
                      <w:sz w:val="22"/>
                      <w:szCs w:val="22"/>
                    </w:rPr>
                  </w:pPr>
                </w:p>
              </w:tc>
              <w:tc>
                <w:tcPr>
                  <w:tcW w:w="2468" w:type="dxa"/>
                </w:tcPr>
                <w:p w14:paraId="69F56FC5" w14:textId="77777777" w:rsidR="000F4FD4" w:rsidRPr="00705AAD" w:rsidRDefault="000F4FD4" w:rsidP="007673F3">
                  <w:pPr>
                    <w:rPr>
                      <w:rFonts w:ascii="Calibri" w:hAnsi="Calibri" w:cs="Arial"/>
                      <w:i/>
                      <w:color w:val="002060"/>
                      <w:sz w:val="16"/>
                      <w:szCs w:val="16"/>
                      <w:lang w:val="el-GR"/>
                    </w:rPr>
                  </w:pPr>
                </w:p>
              </w:tc>
            </w:tr>
            <w:tr w:rsidR="000F4FD4" w:rsidRPr="00705AAD" w14:paraId="6342FB06" w14:textId="77777777" w:rsidTr="007673F3">
              <w:tc>
                <w:tcPr>
                  <w:tcW w:w="2467" w:type="dxa"/>
                  <w:shd w:val="clear" w:color="auto" w:fill="auto"/>
                </w:tcPr>
                <w:p w14:paraId="7CFC6683" w14:textId="77777777" w:rsidR="000F4FD4" w:rsidRPr="00705AAD" w:rsidRDefault="000F4FD4" w:rsidP="007673F3">
                  <w:pPr>
                    <w:rPr>
                      <w:rFonts w:ascii="Calibri" w:hAnsi="Calibri"/>
                      <w:iCs/>
                      <w:color w:val="002060"/>
                      <w:sz w:val="22"/>
                      <w:szCs w:val="22"/>
                      <w:lang w:val="el-GR"/>
                    </w:rPr>
                  </w:pPr>
                </w:p>
              </w:tc>
              <w:tc>
                <w:tcPr>
                  <w:tcW w:w="2468" w:type="dxa"/>
                </w:tcPr>
                <w:p w14:paraId="79F5BC3A"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3061E1C7" w14:textId="77777777" w:rsidTr="007673F3">
              <w:tc>
                <w:tcPr>
                  <w:tcW w:w="2467" w:type="dxa"/>
                </w:tcPr>
                <w:p w14:paraId="1BA4FC0F"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ΣύνολοΜαθήματος</w:t>
                  </w:r>
                </w:p>
              </w:tc>
              <w:tc>
                <w:tcPr>
                  <w:tcW w:w="2468" w:type="dxa"/>
                  <w:vAlign w:val="center"/>
                </w:tcPr>
                <w:p w14:paraId="23668DFD" w14:textId="77777777" w:rsidR="000F4FD4" w:rsidRPr="00705AAD" w:rsidRDefault="008D3B06"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361F51FB" w14:textId="77777777" w:rsidR="000F4FD4" w:rsidRPr="00705AAD" w:rsidRDefault="000F4FD4" w:rsidP="007673F3">
            <w:pPr>
              <w:rPr>
                <w:rFonts w:ascii="Tahoma" w:hAnsi="Tahoma" w:cs="Tahoma"/>
              </w:rPr>
            </w:pPr>
          </w:p>
        </w:tc>
      </w:tr>
      <w:tr w:rsidR="000F4FD4" w:rsidRPr="00F36CD4" w14:paraId="0ECB51C8" w14:textId="77777777" w:rsidTr="007673F3">
        <w:tc>
          <w:tcPr>
            <w:tcW w:w="3306" w:type="dxa"/>
          </w:tcPr>
          <w:p w14:paraId="047C625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2D60A9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861DC6F" w14:textId="77777777" w:rsidR="000F4FD4" w:rsidRPr="00705AAD" w:rsidRDefault="000F4FD4" w:rsidP="007673F3">
            <w:pPr>
              <w:jc w:val="both"/>
              <w:rPr>
                <w:rFonts w:ascii="Calibri" w:hAnsi="Calibri" w:cs="Arial"/>
                <w:i/>
                <w:sz w:val="16"/>
                <w:szCs w:val="16"/>
                <w:lang w:val="el-GR"/>
              </w:rPr>
            </w:pPr>
          </w:p>
          <w:p w14:paraId="3D527F6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0EDFCD7" w14:textId="77777777" w:rsidR="000F4FD4" w:rsidRPr="00705AAD" w:rsidRDefault="000F4FD4" w:rsidP="007673F3">
            <w:pPr>
              <w:jc w:val="both"/>
              <w:rPr>
                <w:rFonts w:ascii="Calibri" w:hAnsi="Calibri" w:cs="Arial"/>
                <w:i/>
                <w:sz w:val="16"/>
                <w:szCs w:val="16"/>
                <w:lang w:val="el-GR"/>
              </w:rPr>
            </w:pPr>
          </w:p>
          <w:p w14:paraId="650991F4"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B313347" w14:textId="77777777" w:rsidR="000F4FD4" w:rsidRDefault="000F4FD4" w:rsidP="007673F3">
            <w:pPr>
              <w:rPr>
                <w:rFonts w:ascii="Calibri" w:hAnsi="Calibri" w:cs="Arial"/>
                <w:color w:val="002060"/>
                <w:lang w:val="el-GR"/>
              </w:rPr>
            </w:pPr>
          </w:p>
          <w:p w14:paraId="69890B60" w14:textId="77777777" w:rsidR="006B5FD1" w:rsidRDefault="006B5FD1" w:rsidP="007673F3">
            <w:pPr>
              <w:rPr>
                <w:rFonts w:ascii="Calibri" w:hAnsi="Calibri" w:cs="Arial"/>
                <w:color w:val="002060"/>
                <w:lang w:val="el-GR"/>
              </w:rPr>
            </w:pPr>
            <w:r>
              <w:rPr>
                <w:rFonts w:ascii="Calibri" w:hAnsi="Calibri" w:cs="Arial"/>
                <w:color w:val="002060"/>
                <w:lang w:val="el-GR"/>
              </w:rPr>
              <w:t>Παρουσίες: 15%</w:t>
            </w:r>
          </w:p>
          <w:p w14:paraId="498640E2" w14:textId="77777777" w:rsidR="000F4FD4" w:rsidRDefault="006B5FD1" w:rsidP="007673F3">
            <w:pPr>
              <w:rPr>
                <w:rFonts w:ascii="Calibri" w:hAnsi="Calibri" w:cs="Arial"/>
                <w:color w:val="002060"/>
                <w:lang w:val="el-GR"/>
              </w:rPr>
            </w:pPr>
            <w:r>
              <w:rPr>
                <w:rFonts w:ascii="Calibri" w:hAnsi="Calibri" w:cs="Arial"/>
                <w:color w:val="002060"/>
                <w:lang w:val="el-GR"/>
              </w:rPr>
              <w:t>Εργασίες:    20 %</w:t>
            </w:r>
          </w:p>
          <w:p w14:paraId="3E74043B" w14:textId="77777777" w:rsidR="006B5FD1" w:rsidRDefault="006B5FD1" w:rsidP="007673F3">
            <w:pPr>
              <w:rPr>
                <w:rFonts w:ascii="Calibri" w:hAnsi="Calibri" w:cs="Arial"/>
                <w:color w:val="002060"/>
                <w:lang w:val="el-GR"/>
              </w:rPr>
            </w:pPr>
            <w:r>
              <w:rPr>
                <w:rFonts w:ascii="Calibri" w:hAnsi="Calibri" w:cs="Arial"/>
                <w:color w:val="002060"/>
                <w:lang w:val="el-GR"/>
              </w:rPr>
              <w:t>Τελική εξέταση : 65%</w:t>
            </w:r>
          </w:p>
          <w:p w14:paraId="03D31504" w14:textId="77777777" w:rsidR="000F4FD4" w:rsidRDefault="000F4FD4" w:rsidP="007673F3">
            <w:pPr>
              <w:rPr>
                <w:rFonts w:ascii="Calibri" w:hAnsi="Calibri" w:cs="Arial"/>
                <w:color w:val="002060"/>
                <w:lang w:val="el-GR"/>
              </w:rPr>
            </w:pPr>
          </w:p>
          <w:p w14:paraId="53D9FC2A" w14:textId="77777777" w:rsidR="000F4FD4" w:rsidRDefault="000F4FD4" w:rsidP="007673F3">
            <w:pPr>
              <w:rPr>
                <w:rFonts w:ascii="Calibri" w:hAnsi="Calibri" w:cs="Arial"/>
                <w:color w:val="002060"/>
                <w:lang w:val="el-GR"/>
              </w:rPr>
            </w:pPr>
          </w:p>
          <w:p w14:paraId="6CABBC8F" w14:textId="77777777" w:rsidR="000F4FD4" w:rsidRDefault="000F4FD4" w:rsidP="007673F3">
            <w:pPr>
              <w:rPr>
                <w:rFonts w:ascii="Calibri" w:hAnsi="Calibri" w:cs="Arial"/>
                <w:color w:val="002060"/>
                <w:lang w:val="el-GR"/>
              </w:rPr>
            </w:pPr>
          </w:p>
          <w:p w14:paraId="136DA9F8" w14:textId="77777777" w:rsidR="000F4FD4" w:rsidRDefault="000F4FD4" w:rsidP="007673F3">
            <w:pPr>
              <w:rPr>
                <w:rFonts w:ascii="Calibri" w:hAnsi="Calibri" w:cs="Arial"/>
                <w:color w:val="002060"/>
                <w:lang w:val="el-GR"/>
              </w:rPr>
            </w:pPr>
          </w:p>
          <w:p w14:paraId="711E57D9" w14:textId="77777777" w:rsidR="000F4FD4" w:rsidRDefault="000F4FD4" w:rsidP="007673F3">
            <w:pPr>
              <w:rPr>
                <w:rFonts w:ascii="Calibri" w:hAnsi="Calibri" w:cs="Arial"/>
                <w:color w:val="002060"/>
                <w:lang w:val="el-GR"/>
              </w:rPr>
            </w:pPr>
          </w:p>
          <w:p w14:paraId="341D07FC" w14:textId="77777777" w:rsidR="000F4FD4" w:rsidRDefault="000F4FD4" w:rsidP="007673F3">
            <w:pPr>
              <w:rPr>
                <w:rFonts w:ascii="Calibri" w:hAnsi="Calibri" w:cs="Arial"/>
                <w:color w:val="002060"/>
                <w:lang w:val="el-GR"/>
              </w:rPr>
            </w:pPr>
          </w:p>
          <w:p w14:paraId="58C8149B" w14:textId="77777777" w:rsidR="000F4FD4" w:rsidRPr="00705AAD" w:rsidRDefault="000F4FD4" w:rsidP="007673F3">
            <w:pPr>
              <w:rPr>
                <w:rFonts w:ascii="Calibri" w:hAnsi="Calibri" w:cs="Arial"/>
                <w:color w:val="002060"/>
                <w:lang w:val="el-GR"/>
              </w:rPr>
            </w:pPr>
          </w:p>
        </w:tc>
      </w:tr>
    </w:tbl>
    <w:p w14:paraId="290D2679"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796E20DD" w14:textId="77777777" w:rsidTr="007673F3">
        <w:tc>
          <w:tcPr>
            <w:tcW w:w="8472" w:type="dxa"/>
          </w:tcPr>
          <w:p w14:paraId="7889A800" w14:textId="77777777" w:rsidR="00793002" w:rsidRDefault="00A8723B" w:rsidP="00A8723B">
            <w:pPr>
              <w:pStyle w:val="ListParagraph"/>
              <w:ind w:left="0"/>
              <w:jc w:val="both"/>
              <w:rPr>
                <w:rFonts w:eastAsia="Calibri" w:cs="Calibri"/>
                <w:color w:val="003366"/>
                <w:sz w:val="23"/>
                <w:szCs w:val="23"/>
                <w:shd w:val="clear" w:color="auto" w:fill="FFFFFF"/>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r w:rsidR="00BA27DC" w:rsidRPr="00BA27DC">
              <w:rPr>
                <w:rFonts w:eastAsia="Calibri" w:cs="Calibri"/>
                <w:color w:val="003366"/>
                <w:sz w:val="23"/>
                <w:szCs w:val="23"/>
                <w:shd w:val="clear" w:color="auto" w:fill="FFFFFF"/>
              </w:rPr>
              <w:t xml:space="preserve"> </w:t>
            </w:r>
          </w:p>
          <w:p w14:paraId="53FF031B" w14:textId="77777777" w:rsidR="001A1C52" w:rsidRPr="005D65B0" w:rsidRDefault="00BA27DC" w:rsidP="00A8723B">
            <w:pPr>
              <w:pStyle w:val="ListParagraph"/>
              <w:ind w:left="0"/>
              <w:jc w:val="both"/>
              <w:rPr>
                <w:rFonts w:ascii="Helvetica" w:eastAsia="Calibri" w:hAnsi="Helvetica" w:cs="Helvetica"/>
                <w:color w:val="003366"/>
                <w:sz w:val="23"/>
                <w:szCs w:val="23"/>
                <w:shd w:val="clear" w:color="auto" w:fill="FFFFFF"/>
              </w:rPr>
            </w:pPr>
            <w:r w:rsidRPr="00BA27DC">
              <w:rPr>
                <w:rFonts w:eastAsia="Calibri" w:cs="Calibri"/>
                <w:color w:val="003366"/>
                <w:sz w:val="23"/>
                <w:szCs w:val="23"/>
                <w:shd w:val="clear" w:color="auto" w:fill="FFFFFF"/>
              </w:rPr>
              <w:t xml:space="preserve">Μιλτιάδη </w:t>
            </w:r>
            <w:r w:rsidRPr="00BA27DC">
              <w:rPr>
                <w:rFonts w:ascii="Helvetica" w:eastAsia="Calibri" w:hAnsi="Helvetica" w:cs="Helvetica"/>
                <w:color w:val="003366"/>
                <w:sz w:val="23"/>
                <w:szCs w:val="23"/>
                <w:shd w:val="clear" w:color="auto" w:fill="FFFFFF"/>
              </w:rPr>
              <w:t>Νεκτάριου</w:t>
            </w:r>
            <w:r w:rsidRPr="00BA27DC">
              <w:rPr>
                <w:rFonts w:eastAsia="Calibri" w:cs="Calibri"/>
                <w:color w:val="003366"/>
                <w:sz w:val="23"/>
                <w:szCs w:val="23"/>
                <w:shd w:val="clear" w:color="auto" w:fill="FFFFFF"/>
              </w:rPr>
              <w:t>,</w:t>
            </w:r>
            <w:r w:rsidRPr="00BA27DC">
              <w:rPr>
                <w:rFonts w:ascii="Helvetica" w:eastAsia="Calibri" w:hAnsi="Helvetica" w:cs="Helvetica"/>
                <w:color w:val="003366"/>
                <w:sz w:val="23"/>
                <w:szCs w:val="23"/>
                <w:shd w:val="clear" w:color="auto" w:fill="FFFFFF"/>
              </w:rPr>
              <w:t> </w:t>
            </w:r>
            <w:r w:rsidRPr="005D65B0">
              <w:rPr>
                <w:rFonts w:ascii="Helvetica" w:eastAsia="Calibri" w:hAnsi="Helvetica" w:cs="Helvetica"/>
                <w:color w:val="003366"/>
                <w:sz w:val="23"/>
                <w:szCs w:val="23"/>
                <w:shd w:val="clear" w:color="auto" w:fill="FFFFFF"/>
              </w:rPr>
              <w:t>Διοικητική Κινδύνων και Ασφαλίσεις Επιχειρήσεων</w:t>
            </w:r>
            <w:r w:rsidRPr="00BA27DC">
              <w:rPr>
                <w:rFonts w:ascii="Helvetica" w:eastAsia="Calibri" w:hAnsi="Helvetica" w:cs="Helvetica"/>
                <w:color w:val="003366"/>
                <w:sz w:val="23"/>
                <w:szCs w:val="23"/>
                <w:shd w:val="clear" w:color="auto" w:fill="FFFFFF"/>
              </w:rPr>
              <w:t>, Εκδόσεις Σταμούλη, Αθήνα</w:t>
            </w:r>
            <w:r w:rsidRPr="005D65B0">
              <w:rPr>
                <w:rFonts w:ascii="Helvetica" w:eastAsia="Calibri" w:hAnsi="Helvetica" w:cs="Helvetica"/>
                <w:color w:val="003366"/>
                <w:sz w:val="23"/>
                <w:szCs w:val="23"/>
                <w:shd w:val="clear" w:color="auto" w:fill="FFFFFF"/>
              </w:rPr>
              <w:t xml:space="preserve"> 2010.</w:t>
            </w:r>
          </w:p>
          <w:p w14:paraId="79270D6E"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049994F7" w14:textId="77777777" w:rsidR="000F4FD4" w:rsidRDefault="000F4FD4" w:rsidP="007673F3">
            <w:pPr>
              <w:jc w:val="both"/>
              <w:rPr>
                <w:rFonts w:ascii="Calibri" w:hAnsi="Calibri" w:cs="Arial"/>
                <w:b/>
                <w:lang w:val="el-GR"/>
              </w:rPr>
            </w:pPr>
          </w:p>
          <w:p w14:paraId="488C0D66" w14:textId="3978B781" w:rsidR="005D65B0" w:rsidRPr="005D65B0" w:rsidRDefault="005D65B0" w:rsidP="007673F3">
            <w:pPr>
              <w:jc w:val="both"/>
              <w:rPr>
                <w:rFonts w:ascii="Calibri" w:hAnsi="Calibri" w:cs="Arial"/>
                <w:b/>
              </w:rPr>
            </w:pPr>
            <w:r w:rsidRPr="005D65B0">
              <w:rPr>
                <w:rFonts w:ascii="Helvetica" w:eastAsia="Calibri" w:hAnsi="Helvetica" w:cs="Helvetica"/>
                <w:color w:val="003366"/>
                <w:sz w:val="23"/>
                <w:szCs w:val="23"/>
                <w:shd w:val="clear" w:color="auto" w:fill="FFFFFF"/>
                <w:lang w:val="el-GR"/>
              </w:rPr>
              <w:t xml:space="preserve">The Geneva Papers on Risk Management and Insurance </w:t>
            </w:r>
          </w:p>
          <w:p w14:paraId="6A3B2101" w14:textId="4C0F5E18" w:rsidR="005D65B0" w:rsidRPr="005D65B0" w:rsidRDefault="005D65B0" w:rsidP="007673F3">
            <w:pPr>
              <w:jc w:val="both"/>
              <w:rPr>
                <w:rFonts w:ascii="Calibri" w:hAnsi="Calibri" w:cs="Arial"/>
                <w:b/>
              </w:rPr>
            </w:pPr>
          </w:p>
        </w:tc>
      </w:tr>
      <w:bookmarkEnd w:id="0"/>
    </w:tbl>
    <w:p w14:paraId="10EFC802" w14:textId="77777777" w:rsidR="000F4FD4" w:rsidRPr="005D65B0" w:rsidRDefault="000F4FD4" w:rsidP="00436402">
      <w:pPr>
        <w:widowControl w:val="0"/>
        <w:autoSpaceDE w:val="0"/>
        <w:autoSpaceDN w:val="0"/>
        <w:adjustRightInd w:val="0"/>
        <w:spacing w:before="240" w:after="200" w:line="276" w:lineRule="auto"/>
        <w:rPr>
          <w:rFonts w:ascii="Calibri" w:hAnsi="Calibri" w:cs="Arial"/>
          <w:b/>
          <w:color w:val="000000"/>
          <w:sz w:val="22"/>
          <w:szCs w:val="22"/>
        </w:rPr>
      </w:pPr>
    </w:p>
    <w:sectPr w:rsidR="000F4FD4" w:rsidRPr="005D65B0"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EE63" w14:textId="77777777" w:rsidR="00D8516D" w:rsidRDefault="00D8516D">
      <w:r>
        <w:separator/>
      </w:r>
    </w:p>
  </w:endnote>
  <w:endnote w:type="continuationSeparator" w:id="0">
    <w:p w14:paraId="74F4DF10" w14:textId="77777777" w:rsidR="00D8516D" w:rsidRDefault="00D8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DABA" w14:textId="77777777" w:rsidR="00D8516D" w:rsidRDefault="00D8516D">
      <w:r>
        <w:separator/>
      </w:r>
    </w:p>
  </w:footnote>
  <w:footnote w:type="continuationSeparator" w:id="0">
    <w:p w14:paraId="0EB95EBD" w14:textId="77777777" w:rsidR="00D8516D" w:rsidRDefault="00D8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36B1" w14:textId="77777777" w:rsidR="007673F3" w:rsidRDefault="00EF2A94">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096DFAC6"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45pt;height:9.4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A124BA"/>
    <w:multiLevelType w:val="hybridMultilevel"/>
    <w:tmpl w:val="4E0A5C2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53455649">
    <w:abstractNumId w:val="25"/>
  </w:num>
  <w:num w:numId="2" w16cid:durableId="1568102851">
    <w:abstractNumId w:val="10"/>
  </w:num>
  <w:num w:numId="3" w16cid:durableId="1117604235">
    <w:abstractNumId w:val="5"/>
  </w:num>
  <w:num w:numId="4" w16cid:durableId="1857697167">
    <w:abstractNumId w:val="2"/>
  </w:num>
  <w:num w:numId="5" w16cid:durableId="695544894">
    <w:abstractNumId w:val="4"/>
  </w:num>
  <w:num w:numId="6" w16cid:durableId="1372532909">
    <w:abstractNumId w:val="41"/>
  </w:num>
  <w:num w:numId="7" w16cid:durableId="1101609425">
    <w:abstractNumId w:val="17"/>
  </w:num>
  <w:num w:numId="8" w16cid:durableId="898247359">
    <w:abstractNumId w:val="8"/>
  </w:num>
  <w:num w:numId="9" w16cid:durableId="15038151">
    <w:abstractNumId w:val="33"/>
  </w:num>
  <w:num w:numId="10" w16cid:durableId="1576014254">
    <w:abstractNumId w:val="42"/>
  </w:num>
  <w:num w:numId="11" w16cid:durableId="1574852707">
    <w:abstractNumId w:val="18"/>
  </w:num>
  <w:num w:numId="12" w16cid:durableId="1659378943">
    <w:abstractNumId w:val="22"/>
  </w:num>
  <w:num w:numId="13" w16cid:durableId="595285946">
    <w:abstractNumId w:val="8"/>
  </w:num>
  <w:num w:numId="14" w16cid:durableId="945650523">
    <w:abstractNumId w:val="14"/>
  </w:num>
  <w:num w:numId="15" w16cid:durableId="60911961">
    <w:abstractNumId w:val="37"/>
  </w:num>
  <w:num w:numId="16" w16cid:durableId="1786342686">
    <w:abstractNumId w:val="33"/>
  </w:num>
  <w:num w:numId="17" w16cid:durableId="937756084">
    <w:abstractNumId w:val="12"/>
  </w:num>
  <w:num w:numId="18" w16cid:durableId="1508518238">
    <w:abstractNumId w:val="23"/>
  </w:num>
  <w:num w:numId="19" w16cid:durableId="230818656">
    <w:abstractNumId w:val="0"/>
  </w:num>
  <w:num w:numId="20" w16cid:durableId="257952653">
    <w:abstractNumId w:val="15"/>
  </w:num>
  <w:num w:numId="21" w16cid:durableId="467474887">
    <w:abstractNumId w:val="6"/>
  </w:num>
  <w:num w:numId="22" w16cid:durableId="1318072414">
    <w:abstractNumId w:val="29"/>
  </w:num>
  <w:num w:numId="23" w16cid:durableId="2144151989">
    <w:abstractNumId w:val="11"/>
  </w:num>
  <w:num w:numId="24" w16cid:durableId="443841151">
    <w:abstractNumId w:val="19"/>
  </w:num>
  <w:num w:numId="25" w16cid:durableId="399523085">
    <w:abstractNumId w:val="1"/>
  </w:num>
  <w:num w:numId="26" w16cid:durableId="1572426959">
    <w:abstractNumId w:val="43"/>
  </w:num>
  <w:num w:numId="27" w16cid:durableId="587349825">
    <w:abstractNumId w:val="32"/>
  </w:num>
  <w:num w:numId="28" w16cid:durableId="1151480117">
    <w:abstractNumId w:val="7"/>
  </w:num>
  <w:num w:numId="29" w16cid:durableId="279528335">
    <w:abstractNumId w:val="24"/>
  </w:num>
  <w:num w:numId="30" w16cid:durableId="861164117">
    <w:abstractNumId w:val="39"/>
  </w:num>
  <w:num w:numId="31" w16cid:durableId="947929914">
    <w:abstractNumId w:val="9"/>
  </w:num>
  <w:num w:numId="32" w16cid:durableId="627786426">
    <w:abstractNumId w:val="27"/>
  </w:num>
  <w:num w:numId="33" w16cid:durableId="1767388330">
    <w:abstractNumId w:val="21"/>
  </w:num>
  <w:num w:numId="34" w16cid:durableId="230967784">
    <w:abstractNumId w:val="38"/>
  </w:num>
  <w:num w:numId="35" w16cid:durableId="88482894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333116">
    <w:abstractNumId w:val="31"/>
  </w:num>
  <w:num w:numId="37" w16cid:durableId="367611198">
    <w:abstractNumId w:val="20"/>
  </w:num>
  <w:num w:numId="38" w16cid:durableId="2081899736">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3114970">
    <w:abstractNumId w:val="35"/>
  </w:num>
  <w:num w:numId="40" w16cid:durableId="1659723205">
    <w:abstractNumId w:val="30"/>
  </w:num>
  <w:num w:numId="41" w16cid:durableId="310214304">
    <w:abstractNumId w:val="16"/>
  </w:num>
  <w:num w:numId="42" w16cid:durableId="232661146">
    <w:abstractNumId w:val="26"/>
  </w:num>
  <w:num w:numId="43" w16cid:durableId="641614999">
    <w:abstractNumId w:val="28"/>
  </w:num>
  <w:num w:numId="44" w16cid:durableId="1569806717">
    <w:abstractNumId w:val="36"/>
  </w:num>
  <w:num w:numId="45" w16cid:durableId="800459081">
    <w:abstractNumId w:val="3"/>
  </w:num>
  <w:num w:numId="46" w16cid:durableId="102479450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4C47"/>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6303"/>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9D7"/>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FCE"/>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33A0"/>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0FD9"/>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402"/>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6AFB"/>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D65B0"/>
    <w:rsid w:val="005E096A"/>
    <w:rsid w:val="005E3207"/>
    <w:rsid w:val="005E3C04"/>
    <w:rsid w:val="005E3E18"/>
    <w:rsid w:val="005E4CDD"/>
    <w:rsid w:val="005F1D7B"/>
    <w:rsid w:val="0060443B"/>
    <w:rsid w:val="00606296"/>
    <w:rsid w:val="00606935"/>
    <w:rsid w:val="00607285"/>
    <w:rsid w:val="00607F29"/>
    <w:rsid w:val="006122F8"/>
    <w:rsid w:val="0061373A"/>
    <w:rsid w:val="0061404F"/>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502"/>
    <w:rsid w:val="00667CAA"/>
    <w:rsid w:val="00667ED7"/>
    <w:rsid w:val="006702EA"/>
    <w:rsid w:val="00673583"/>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5FD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5469"/>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40D5"/>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3002"/>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27F94"/>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3B06"/>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C54"/>
    <w:rsid w:val="00A27EFC"/>
    <w:rsid w:val="00A317A7"/>
    <w:rsid w:val="00A330DE"/>
    <w:rsid w:val="00A3311A"/>
    <w:rsid w:val="00A3381C"/>
    <w:rsid w:val="00A34C0A"/>
    <w:rsid w:val="00A3596F"/>
    <w:rsid w:val="00A4072C"/>
    <w:rsid w:val="00A41E82"/>
    <w:rsid w:val="00A46608"/>
    <w:rsid w:val="00A46F73"/>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3F07"/>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55E"/>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0920"/>
    <w:rsid w:val="00B822A3"/>
    <w:rsid w:val="00B84A52"/>
    <w:rsid w:val="00B84B3A"/>
    <w:rsid w:val="00B85EFA"/>
    <w:rsid w:val="00B87837"/>
    <w:rsid w:val="00B87ADD"/>
    <w:rsid w:val="00B9317C"/>
    <w:rsid w:val="00B940BC"/>
    <w:rsid w:val="00B955D4"/>
    <w:rsid w:val="00B959D0"/>
    <w:rsid w:val="00B96C21"/>
    <w:rsid w:val="00B97A75"/>
    <w:rsid w:val="00BA1906"/>
    <w:rsid w:val="00BA27DC"/>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2F68"/>
    <w:rsid w:val="00C73B78"/>
    <w:rsid w:val="00C75BA4"/>
    <w:rsid w:val="00C760A3"/>
    <w:rsid w:val="00C7650E"/>
    <w:rsid w:val="00C808E0"/>
    <w:rsid w:val="00C80950"/>
    <w:rsid w:val="00C80EAC"/>
    <w:rsid w:val="00C81911"/>
    <w:rsid w:val="00C86729"/>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750"/>
    <w:rsid w:val="00CC68AE"/>
    <w:rsid w:val="00CC6A8F"/>
    <w:rsid w:val="00CC716E"/>
    <w:rsid w:val="00CD1A94"/>
    <w:rsid w:val="00CD2557"/>
    <w:rsid w:val="00CD486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16D"/>
    <w:rsid w:val="00D85206"/>
    <w:rsid w:val="00D862D5"/>
    <w:rsid w:val="00D905F8"/>
    <w:rsid w:val="00D9383A"/>
    <w:rsid w:val="00D9642D"/>
    <w:rsid w:val="00D971F5"/>
    <w:rsid w:val="00D975D7"/>
    <w:rsid w:val="00DA1833"/>
    <w:rsid w:val="00DA448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0EF1"/>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0742"/>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2A94"/>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6CD4"/>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B6A7C"/>
  <w15:docId w15:val="{F12A462A-12B2-4CFC-949E-E872A772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semiHidden/>
    <w:locked/>
    <w:rsid w:val="006B5FD1"/>
    <w:pPr>
      <w:spacing w:before="100" w:beforeAutospacing="1" w:after="100" w:afterAutospacing="1"/>
    </w:pPr>
    <w:rPr>
      <w:lang w:val="el-GR" w:eastAsia="el-GR"/>
    </w:rPr>
  </w:style>
  <w:style w:type="character" w:styleId="UnresolvedMention">
    <w:name w:val="Unresolved Mention"/>
    <w:basedOn w:val="DefaultParagraphFont"/>
    <w:uiPriority w:val="99"/>
    <w:semiHidden/>
    <w:unhideWhenUsed/>
    <w:rsid w:val="00A46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6011</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PANOS XENOS</cp:lastModifiedBy>
  <cp:revision>3</cp:revision>
  <cp:lastPrinted>2014-04-24T14:33:00Z</cp:lastPrinted>
  <dcterms:created xsi:type="dcterms:W3CDTF">2023-03-22T11:10:00Z</dcterms:created>
  <dcterms:modified xsi:type="dcterms:W3CDTF">2023-03-22T11:21:00Z</dcterms:modified>
</cp:coreProperties>
</file>